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4B8AB763" w:rsidR="004834CA" w:rsidRPr="00546653" w:rsidRDefault="000F5BEC" w:rsidP="00546653">
      <w:pPr>
        <w:pStyle w:val="Heading2"/>
        <w:rPr>
          <w:rFonts w:eastAsia="Times New Roman"/>
        </w:rPr>
      </w:pPr>
      <w:r>
        <w:rPr>
          <w:rFonts w:eastAsiaTheme="minorHAnsi"/>
          <w:lang w:val="en-GB" w:eastAsia="en-US"/>
        </w:rPr>
        <w:t>Redundancy</w:t>
      </w:r>
      <w:r w:rsidR="003678E8" w:rsidRPr="003678E8">
        <w:rPr>
          <w:rFonts w:eastAsiaTheme="minorHAnsi"/>
          <w:lang w:val="en-GB" w:eastAsia="en-US"/>
        </w:rPr>
        <w:t xml:space="preserve"> Checklist</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24"/>
        <w:gridCol w:w="6808"/>
        <w:gridCol w:w="935"/>
      </w:tblGrid>
      <w:tr w:rsidR="004816D5" w14:paraId="77631B3C" w14:textId="77777777" w:rsidTr="000F5BEC">
        <w:trPr>
          <w:trHeight w:val="973"/>
        </w:trPr>
        <w:tc>
          <w:tcPr>
            <w:tcW w:w="5000" w:type="pct"/>
            <w:gridSpan w:val="3"/>
            <w:shd w:val="clear" w:color="auto" w:fill="006EB0" w:themeFill="accent1"/>
            <w:hideMark/>
          </w:tcPr>
          <w:p w14:paraId="56A0F1A5" w14:textId="77777777" w:rsidR="004816D5" w:rsidRPr="002C02EA" w:rsidRDefault="004816D5" w:rsidP="004816D5">
            <w:pPr>
              <w:spacing w:after="120"/>
              <w:jc w:val="center"/>
              <w:rPr>
                <w:rFonts w:asciiTheme="minorHAnsi" w:hAnsiTheme="minorHAnsi" w:cstheme="minorHAnsi"/>
                <w:b/>
                <w:bCs/>
                <w:snapToGrid w:val="0"/>
                <w:sz w:val="22"/>
                <w:szCs w:val="22"/>
              </w:rPr>
            </w:pPr>
            <w:r w:rsidRPr="002C02EA">
              <w:rPr>
                <w:rStyle w:val="Bold"/>
                <w:rFonts w:asciiTheme="minorHAnsi" w:hAnsiTheme="minorHAnsi" w:cstheme="minorHAnsi"/>
                <w:b w:val="0"/>
                <w:bCs w:val="0"/>
                <w:color w:val="FFFFFF" w:themeColor="background1"/>
                <w:sz w:val="22"/>
                <w:szCs w:val="22"/>
                <w:lang w:eastAsia="en-US"/>
              </w:rPr>
              <w:t>Sequence of tasks</w:t>
            </w:r>
          </w:p>
        </w:tc>
      </w:tr>
      <w:tr w:rsidR="004816D5" w14:paraId="3EBA55FF" w14:textId="77777777" w:rsidTr="000F5BEC">
        <w:tc>
          <w:tcPr>
            <w:tcW w:w="5000" w:type="pct"/>
            <w:gridSpan w:val="3"/>
            <w:shd w:val="clear" w:color="auto" w:fill="006EB0" w:themeFill="accent1"/>
            <w:hideMark/>
          </w:tcPr>
          <w:p w14:paraId="3018B3E6" w14:textId="77777777" w:rsidR="004816D5" w:rsidRPr="002C02EA" w:rsidRDefault="004816D5" w:rsidP="00F376DA">
            <w:pPr>
              <w:pStyle w:val="BodyText"/>
              <w:spacing w:line="276" w:lineRule="auto"/>
              <w:rPr>
                <w:rFonts w:asciiTheme="minorHAnsi" w:hAnsiTheme="minorHAnsi" w:cstheme="minorHAnsi"/>
                <w:b/>
                <w:bCs/>
                <w:snapToGrid w:val="0"/>
                <w:color w:val="FFFFFF" w:themeColor="background1"/>
                <w:sz w:val="22"/>
                <w:szCs w:val="22"/>
              </w:rPr>
            </w:pPr>
            <w:r w:rsidRPr="002C02EA">
              <w:rPr>
                <w:rStyle w:val="Bold"/>
                <w:rFonts w:asciiTheme="minorHAnsi" w:hAnsiTheme="minorHAnsi" w:cstheme="minorHAnsi"/>
                <w:b w:val="0"/>
                <w:bCs w:val="0"/>
                <w:color w:val="FFFFFF" w:themeColor="background1"/>
                <w:sz w:val="22"/>
                <w:szCs w:val="22"/>
              </w:rPr>
              <w:t>Preliminary steps</w:t>
            </w:r>
            <w:r w:rsidRPr="002C02EA">
              <w:rPr>
                <w:rFonts w:asciiTheme="minorHAnsi" w:hAnsiTheme="minorHAnsi" w:cstheme="minorHAnsi"/>
                <w:b/>
                <w:bCs/>
                <w:color w:val="FFFFFF" w:themeColor="background1"/>
                <w:sz w:val="22"/>
                <w:szCs w:val="22"/>
              </w:rPr>
              <w:t xml:space="preserve"> </w:t>
            </w:r>
            <w:r w:rsidRPr="002C02EA">
              <w:rPr>
                <w:rFonts w:asciiTheme="minorHAnsi" w:hAnsiTheme="minorHAnsi" w:cstheme="minorHAnsi"/>
                <w:color w:val="FFFFFF" w:themeColor="background1"/>
                <w:sz w:val="22"/>
                <w:szCs w:val="22"/>
              </w:rPr>
              <w:t>— Prior to making a definite decision to make a position redundant</w:t>
            </w:r>
          </w:p>
        </w:tc>
      </w:tr>
      <w:tr w:rsidR="004816D5" w14:paraId="330C3059" w14:textId="77777777" w:rsidTr="000F5BEC">
        <w:tc>
          <w:tcPr>
            <w:tcW w:w="584" w:type="pct"/>
            <w:shd w:val="clear" w:color="auto" w:fill="006EB0" w:themeFill="accent1"/>
            <w:hideMark/>
          </w:tcPr>
          <w:p w14:paraId="0D81F081"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4CF448AC"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Assess the motivating reasons for the redundancy. Consider whether the reason for the redundancy would amount to a </w:t>
            </w:r>
            <w:r w:rsidRPr="002C02EA">
              <w:rPr>
                <w:rStyle w:val="Bold"/>
                <w:rFonts w:asciiTheme="minorHAnsi" w:hAnsiTheme="minorHAnsi" w:cstheme="minorHAnsi"/>
                <w:sz w:val="22"/>
                <w:szCs w:val="22"/>
              </w:rPr>
              <w:t>genuine redundancy.</w:t>
            </w:r>
          </w:p>
        </w:tc>
        <w:tc>
          <w:tcPr>
            <w:tcW w:w="533" w:type="pct"/>
            <w:shd w:val="clear" w:color="auto" w:fill="D9D9D9" w:themeFill="background1" w:themeFillShade="D9"/>
            <w:vAlign w:val="center"/>
            <w:hideMark/>
          </w:tcPr>
          <w:p w14:paraId="5294D715" w14:textId="3A68439F" w:rsidR="004816D5" w:rsidRPr="002C02EA" w:rsidRDefault="002C02EA" w:rsidP="00F376DA">
            <w:pPr>
              <w:pStyle w:val="BodyText"/>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bookmarkStart w:id="0" w:name="Check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bookmarkEnd w:id="0"/>
          </w:p>
        </w:tc>
      </w:tr>
      <w:tr w:rsidR="004816D5" w14:paraId="0654BA4A" w14:textId="77777777" w:rsidTr="000F5BEC">
        <w:tc>
          <w:tcPr>
            <w:tcW w:w="584" w:type="pct"/>
            <w:shd w:val="clear" w:color="auto" w:fill="006EB0" w:themeFill="accent1"/>
            <w:hideMark/>
          </w:tcPr>
          <w:p w14:paraId="75A79980"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39B8B52B"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Do you no longer wish the job to be performed by anyone because of changes in the operational requirements of your enterprise or due to insolvency or bankruptcy?</w:t>
            </w:r>
          </w:p>
        </w:tc>
        <w:tc>
          <w:tcPr>
            <w:tcW w:w="533" w:type="pct"/>
            <w:shd w:val="clear" w:color="auto" w:fill="F2F2F2" w:themeFill="background1" w:themeFillShade="F2"/>
            <w:vAlign w:val="center"/>
            <w:hideMark/>
          </w:tcPr>
          <w:p w14:paraId="7E0AFB39" w14:textId="2D5E585A" w:rsidR="004816D5" w:rsidRPr="002C02EA" w:rsidRDefault="002C02EA" w:rsidP="002C02EA">
            <w:pPr>
              <w:spacing w:line="276" w:lineRule="auto"/>
              <w:rPr>
                <w:rFonts w:asciiTheme="minorHAnsi" w:hAnsiTheme="minorHAnsi" w:cstheme="minorHAnsi"/>
                <w:sz w:val="22"/>
                <w:szCs w:val="22"/>
                <w:lang w:eastAsia="en-AU"/>
              </w:rPr>
            </w:pPr>
            <w:r>
              <w:rPr>
                <w:rFonts w:asciiTheme="minorHAnsi" w:hAnsiTheme="minorHAnsi" w:cstheme="minorHAnsi"/>
                <w:sz w:val="22"/>
                <w:szCs w:val="22"/>
                <w:lang w:eastAsia="en-AU"/>
              </w:rPr>
              <w:t xml:space="preserve">     </w:t>
            </w: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0D16C983" w14:textId="77777777" w:rsidTr="000F5BEC">
        <w:tc>
          <w:tcPr>
            <w:tcW w:w="584" w:type="pct"/>
            <w:shd w:val="clear" w:color="auto" w:fill="006EB0" w:themeFill="accent1"/>
            <w:hideMark/>
          </w:tcPr>
          <w:p w14:paraId="7B7B50AB"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44D29B45"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Are there reasons of an economic, technological, structural nature that necessitates a restructure of the business? Obtain data to support those reasons.</w:t>
            </w:r>
          </w:p>
        </w:tc>
        <w:tc>
          <w:tcPr>
            <w:tcW w:w="533" w:type="pct"/>
            <w:shd w:val="clear" w:color="auto" w:fill="D9D9D9" w:themeFill="background1" w:themeFillShade="D9"/>
            <w:vAlign w:val="center"/>
            <w:hideMark/>
          </w:tcPr>
          <w:p w14:paraId="5E9B7650" w14:textId="57D98691"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49CE4AC3" w14:textId="77777777" w:rsidTr="000F5BEC">
        <w:tc>
          <w:tcPr>
            <w:tcW w:w="584" w:type="pct"/>
            <w:shd w:val="clear" w:color="auto" w:fill="006EB0" w:themeFill="accent1"/>
            <w:hideMark/>
          </w:tcPr>
          <w:p w14:paraId="3E3D5007"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5133E12D"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Consider alternatives to redundancy, such as transfers, retraining or redeployment (within the employer’s enterprise or the enterprise of an associated entity of the employer).</w:t>
            </w:r>
          </w:p>
        </w:tc>
        <w:tc>
          <w:tcPr>
            <w:tcW w:w="533" w:type="pct"/>
            <w:shd w:val="clear" w:color="auto" w:fill="F2F2F2" w:themeFill="background1" w:themeFillShade="F2"/>
            <w:vAlign w:val="center"/>
            <w:hideMark/>
          </w:tcPr>
          <w:p w14:paraId="4E5263DF" w14:textId="5F3A853A"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5B0F4C1A" w14:textId="77777777" w:rsidTr="000F5BEC">
        <w:tc>
          <w:tcPr>
            <w:tcW w:w="584" w:type="pct"/>
            <w:shd w:val="clear" w:color="auto" w:fill="006EB0" w:themeFill="accent1"/>
            <w:hideMark/>
          </w:tcPr>
          <w:p w14:paraId="0A16F223"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2D53CD48" w14:textId="43588F00" w:rsidR="002C02EA" w:rsidRPr="002C02EA" w:rsidRDefault="004816D5" w:rsidP="00F376DA">
            <w:pPr>
              <w:pStyle w:val="BodyText"/>
              <w:spacing w:line="276" w:lineRule="auto"/>
              <w:rPr>
                <w:rFonts w:asciiTheme="minorHAnsi" w:hAnsiTheme="minorHAnsi" w:cstheme="minorHAnsi"/>
                <w:sz w:val="22"/>
                <w:szCs w:val="22"/>
              </w:rPr>
            </w:pPr>
            <w:r w:rsidRPr="002C02EA">
              <w:rPr>
                <w:rFonts w:asciiTheme="minorHAnsi" w:hAnsiTheme="minorHAnsi" w:cstheme="minorHAnsi"/>
                <w:sz w:val="22"/>
                <w:szCs w:val="22"/>
              </w:rPr>
              <w:t>Do you still need to consider redundancies?</w:t>
            </w:r>
          </w:p>
        </w:tc>
        <w:tc>
          <w:tcPr>
            <w:tcW w:w="533" w:type="pct"/>
            <w:shd w:val="clear" w:color="auto" w:fill="D9D9D9" w:themeFill="background1" w:themeFillShade="D9"/>
            <w:vAlign w:val="center"/>
            <w:hideMark/>
          </w:tcPr>
          <w:p w14:paraId="02F70F36" w14:textId="581BF3A6"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6EFB7646" w14:textId="77777777" w:rsidTr="000F5BEC">
        <w:tc>
          <w:tcPr>
            <w:tcW w:w="5000" w:type="pct"/>
            <w:gridSpan w:val="3"/>
            <w:shd w:val="clear" w:color="auto" w:fill="006EB0" w:themeFill="accent1"/>
            <w:hideMark/>
          </w:tcPr>
          <w:p w14:paraId="74E77835" w14:textId="77777777" w:rsidR="004816D5" w:rsidRPr="002C02EA" w:rsidRDefault="004816D5" w:rsidP="000F5BEC">
            <w:pPr>
              <w:spacing w:after="120"/>
              <w:jc w:val="center"/>
              <w:rPr>
                <w:rFonts w:asciiTheme="minorHAnsi" w:hAnsiTheme="minorHAnsi" w:cstheme="minorHAnsi"/>
                <w:snapToGrid w:val="0"/>
                <w:sz w:val="22"/>
                <w:szCs w:val="22"/>
              </w:rPr>
            </w:pPr>
            <w:r w:rsidRPr="002C02EA">
              <w:rPr>
                <w:rStyle w:val="Bold"/>
                <w:rFonts w:asciiTheme="minorHAnsi" w:hAnsiTheme="minorHAnsi" w:cstheme="minorHAnsi"/>
                <w:b w:val="0"/>
                <w:bCs w:val="0"/>
                <w:color w:val="FFFFFF" w:themeColor="background1"/>
                <w:sz w:val="22"/>
                <w:szCs w:val="22"/>
                <w:lang w:eastAsia="en-US"/>
              </w:rPr>
              <w:t>Selection of employee to retrench</w:t>
            </w:r>
          </w:p>
        </w:tc>
      </w:tr>
      <w:tr w:rsidR="004816D5" w14:paraId="21D8F5DA" w14:textId="77777777" w:rsidTr="000F5BEC">
        <w:tc>
          <w:tcPr>
            <w:tcW w:w="584" w:type="pct"/>
            <w:shd w:val="clear" w:color="auto" w:fill="006EB0" w:themeFill="accent1"/>
            <w:hideMark/>
          </w:tcPr>
          <w:p w14:paraId="3FF5405C"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3EB2D6AC"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Select employees for redundancy, in a fair and non-discriminatory way.</w:t>
            </w:r>
          </w:p>
        </w:tc>
        <w:tc>
          <w:tcPr>
            <w:tcW w:w="533" w:type="pct"/>
            <w:shd w:val="clear" w:color="auto" w:fill="F2F2F2" w:themeFill="background1" w:themeFillShade="F2"/>
            <w:vAlign w:val="center"/>
            <w:hideMark/>
          </w:tcPr>
          <w:p w14:paraId="6DE268BC" w14:textId="461DB4AD" w:rsidR="004816D5" w:rsidRPr="002C02EA" w:rsidRDefault="002C02EA" w:rsidP="002C02E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47E05E35" w14:textId="77777777" w:rsidTr="000F5BEC">
        <w:tc>
          <w:tcPr>
            <w:tcW w:w="584" w:type="pct"/>
            <w:shd w:val="clear" w:color="auto" w:fill="006EB0" w:themeFill="accent1"/>
            <w:hideMark/>
          </w:tcPr>
          <w:p w14:paraId="1B5C61EC"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42255747" w14:textId="77777777" w:rsidR="004816D5" w:rsidRPr="002C02EA" w:rsidRDefault="004816D5" w:rsidP="00F376DA">
            <w:pPr>
              <w:pStyle w:val="BodyText"/>
              <w:spacing w:line="276" w:lineRule="auto"/>
              <w:rPr>
                <w:rFonts w:asciiTheme="minorHAnsi" w:hAnsiTheme="minorHAnsi" w:cstheme="minorHAnsi"/>
                <w:sz w:val="22"/>
                <w:szCs w:val="22"/>
              </w:rPr>
            </w:pPr>
            <w:r w:rsidRPr="002C02EA">
              <w:rPr>
                <w:rFonts w:asciiTheme="minorHAnsi" w:hAnsiTheme="minorHAnsi" w:cstheme="minorHAnsi"/>
                <w:sz w:val="22"/>
                <w:szCs w:val="22"/>
              </w:rPr>
              <w:t>Identify employees for redundancy by objective selection criteria which are applied consistently to employees whose position may be made redundant. Relevant factors may include a consideration of an employee’s:</w:t>
            </w:r>
          </w:p>
          <w:p w14:paraId="2D920FA4" w14:textId="77777777" w:rsidR="004816D5" w:rsidRPr="002C02EA" w:rsidRDefault="004816D5" w:rsidP="00F376DA">
            <w:pPr>
              <w:pStyle w:val="BodyText"/>
              <w:spacing w:line="276" w:lineRule="auto"/>
              <w:rPr>
                <w:rFonts w:asciiTheme="minorHAnsi" w:hAnsiTheme="minorHAnsi" w:cstheme="minorHAnsi"/>
                <w:sz w:val="22"/>
                <w:szCs w:val="22"/>
              </w:rPr>
            </w:pPr>
            <w:r w:rsidRPr="002C02EA">
              <w:rPr>
                <w:rFonts w:asciiTheme="minorHAnsi" w:hAnsiTheme="minorHAnsi" w:cstheme="minorHAnsi"/>
                <w:sz w:val="22"/>
                <w:szCs w:val="22"/>
              </w:rPr>
              <w:t>(</w:t>
            </w:r>
            <w:proofErr w:type="spellStart"/>
            <w:r w:rsidRPr="002C02EA">
              <w:rPr>
                <w:rFonts w:asciiTheme="minorHAnsi" w:hAnsiTheme="minorHAnsi" w:cstheme="minorHAnsi"/>
                <w:sz w:val="22"/>
                <w:szCs w:val="22"/>
              </w:rPr>
              <w:t>i</w:t>
            </w:r>
            <w:proofErr w:type="spellEnd"/>
            <w:r w:rsidRPr="002C02EA">
              <w:rPr>
                <w:rFonts w:asciiTheme="minorHAnsi" w:hAnsiTheme="minorHAnsi" w:cstheme="minorHAnsi"/>
                <w:sz w:val="22"/>
                <w:szCs w:val="22"/>
              </w:rPr>
              <w:t>) qualifications</w:t>
            </w:r>
          </w:p>
          <w:p w14:paraId="576EE00B" w14:textId="77777777" w:rsidR="004816D5" w:rsidRPr="002C02EA" w:rsidRDefault="004816D5" w:rsidP="00F376DA">
            <w:pPr>
              <w:pStyle w:val="BodyText"/>
              <w:spacing w:line="276" w:lineRule="auto"/>
              <w:rPr>
                <w:rFonts w:asciiTheme="minorHAnsi" w:hAnsiTheme="minorHAnsi" w:cstheme="minorHAnsi"/>
                <w:sz w:val="22"/>
                <w:szCs w:val="22"/>
              </w:rPr>
            </w:pPr>
            <w:r w:rsidRPr="002C02EA">
              <w:rPr>
                <w:rFonts w:asciiTheme="minorHAnsi" w:hAnsiTheme="minorHAnsi" w:cstheme="minorHAnsi"/>
                <w:sz w:val="22"/>
                <w:szCs w:val="22"/>
              </w:rPr>
              <w:t>(ii) skill set</w:t>
            </w:r>
          </w:p>
          <w:p w14:paraId="5395DB30" w14:textId="77777777" w:rsidR="004816D5" w:rsidRPr="002C02EA" w:rsidRDefault="004816D5" w:rsidP="00F376DA">
            <w:pPr>
              <w:pStyle w:val="BodyText"/>
              <w:spacing w:line="276" w:lineRule="auto"/>
              <w:rPr>
                <w:rFonts w:asciiTheme="minorHAnsi" w:hAnsiTheme="minorHAnsi" w:cstheme="minorHAnsi"/>
                <w:sz w:val="22"/>
                <w:szCs w:val="22"/>
              </w:rPr>
            </w:pPr>
            <w:r w:rsidRPr="002C02EA">
              <w:rPr>
                <w:rFonts w:asciiTheme="minorHAnsi" w:hAnsiTheme="minorHAnsi" w:cstheme="minorHAnsi"/>
                <w:sz w:val="22"/>
                <w:szCs w:val="22"/>
              </w:rPr>
              <w:t>(iii) experience</w:t>
            </w:r>
          </w:p>
          <w:p w14:paraId="3706AE6F"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(iv) performance</w:t>
            </w:r>
          </w:p>
        </w:tc>
        <w:tc>
          <w:tcPr>
            <w:tcW w:w="533" w:type="pct"/>
            <w:shd w:val="clear" w:color="auto" w:fill="D9D9D9" w:themeFill="background1" w:themeFillShade="D9"/>
            <w:vAlign w:val="center"/>
            <w:hideMark/>
          </w:tcPr>
          <w:p w14:paraId="165EA4AE" w14:textId="1D0943E1"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402D21EC" w14:textId="77777777" w:rsidTr="000F5BEC">
        <w:tc>
          <w:tcPr>
            <w:tcW w:w="5000" w:type="pct"/>
            <w:gridSpan w:val="3"/>
            <w:shd w:val="clear" w:color="auto" w:fill="006EB0" w:themeFill="accent1"/>
            <w:hideMark/>
          </w:tcPr>
          <w:p w14:paraId="058AFD89" w14:textId="77777777" w:rsidR="004816D5" w:rsidRPr="002C02EA" w:rsidRDefault="004816D5" w:rsidP="000F5BEC">
            <w:pPr>
              <w:pStyle w:val="Heading2"/>
              <w:spacing w:before="0" w:line="276" w:lineRule="auto"/>
              <w:jc w:val="center"/>
              <w:rPr>
                <w:rFonts w:asciiTheme="minorHAnsi" w:hAnsiTheme="minorHAnsi" w:cstheme="minorHAnsi"/>
                <w:snapToGrid w:val="0"/>
                <w:sz w:val="22"/>
                <w:szCs w:val="22"/>
              </w:rPr>
            </w:pPr>
            <w:r w:rsidRPr="002C02EA">
              <w:rPr>
                <w:rFonts w:asciiTheme="minorHAnsi" w:hAnsiTheme="minorHAnsi" w:cstheme="minorHAnsi"/>
                <w:color w:val="FFFFFF" w:themeColor="background1"/>
                <w:sz w:val="22"/>
                <w:szCs w:val="22"/>
              </w:rPr>
              <w:t>Consultation</w:t>
            </w:r>
          </w:p>
        </w:tc>
      </w:tr>
      <w:tr w:rsidR="004816D5" w14:paraId="70AA2AC4" w14:textId="77777777" w:rsidTr="000F5BEC">
        <w:tc>
          <w:tcPr>
            <w:tcW w:w="584" w:type="pct"/>
            <w:shd w:val="clear" w:color="auto" w:fill="006EB0" w:themeFill="accent1"/>
            <w:hideMark/>
          </w:tcPr>
          <w:p w14:paraId="1E7B3A92"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7882B2BA"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Consider obligations contained in awards, agreements, contracts, </w:t>
            </w:r>
            <w:proofErr w:type="gramStart"/>
            <w:r w:rsidRPr="002C02EA">
              <w:rPr>
                <w:rFonts w:asciiTheme="minorHAnsi" w:hAnsiTheme="minorHAnsi" w:cstheme="minorHAnsi"/>
                <w:sz w:val="22"/>
                <w:szCs w:val="22"/>
              </w:rPr>
              <w:t>legislation</w:t>
            </w:r>
            <w:proofErr w:type="gramEnd"/>
            <w:r w:rsidRPr="002C02EA">
              <w:rPr>
                <w:rFonts w:asciiTheme="minorHAnsi" w:hAnsiTheme="minorHAnsi" w:cstheme="minorHAnsi"/>
                <w:sz w:val="22"/>
                <w:szCs w:val="22"/>
              </w:rPr>
              <w:t xml:space="preserve"> and employer policies that mandate consultation and </w:t>
            </w:r>
            <w:r w:rsidRPr="002C02EA">
              <w:rPr>
                <w:rFonts w:asciiTheme="minorHAnsi" w:hAnsiTheme="minorHAnsi" w:cstheme="minorHAnsi"/>
                <w:sz w:val="22"/>
                <w:szCs w:val="22"/>
              </w:rPr>
              <w:lastRenderedPageBreak/>
              <w:t>notification with employee(s) and/or unions about the proposed redundancies before they take effect.</w:t>
            </w:r>
          </w:p>
        </w:tc>
        <w:tc>
          <w:tcPr>
            <w:tcW w:w="533" w:type="pct"/>
            <w:shd w:val="clear" w:color="auto" w:fill="F2F2F2" w:themeFill="background1" w:themeFillShade="F2"/>
            <w:vAlign w:val="center"/>
            <w:hideMark/>
          </w:tcPr>
          <w:p w14:paraId="490F728B" w14:textId="4AD05CAF"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lastRenderedPageBreak/>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2F4BBBAF" w14:textId="77777777" w:rsidTr="000F5BEC">
        <w:tc>
          <w:tcPr>
            <w:tcW w:w="584" w:type="pct"/>
            <w:shd w:val="clear" w:color="auto" w:fill="006EB0" w:themeFill="accent1"/>
            <w:hideMark/>
          </w:tcPr>
          <w:p w14:paraId="4B378D19"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2D2CE780"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Consider whether you are obliged </w:t>
            </w:r>
            <w:proofErr w:type="gramStart"/>
            <w:r w:rsidRPr="002C02EA">
              <w:rPr>
                <w:rFonts w:asciiTheme="minorHAnsi" w:hAnsiTheme="minorHAnsi" w:cstheme="minorHAnsi"/>
                <w:sz w:val="22"/>
                <w:szCs w:val="22"/>
              </w:rPr>
              <w:t>to, or</w:t>
            </w:r>
            <w:proofErr w:type="gramEnd"/>
            <w:r w:rsidRPr="002C02EA">
              <w:rPr>
                <w:rFonts w:asciiTheme="minorHAnsi" w:hAnsiTheme="minorHAnsi" w:cstheme="minorHAnsi"/>
                <w:sz w:val="22"/>
                <w:szCs w:val="22"/>
              </w:rPr>
              <w:t xml:space="preserve"> will elect to offer voluntary redundancies.</w:t>
            </w:r>
          </w:p>
        </w:tc>
        <w:tc>
          <w:tcPr>
            <w:tcW w:w="533" w:type="pct"/>
            <w:shd w:val="clear" w:color="auto" w:fill="D9D9D9" w:themeFill="background1" w:themeFillShade="D9"/>
            <w:vAlign w:val="center"/>
            <w:hideMark/>
          </w:tcPr>
          <w:p w14:paraId="2EB9F729" w14:textId="0EFC348C"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16B774C7" w14:textId="77777777" w:rsidTr="000F5BEC">
        <w:tc>
          <w:tcPr>
            <w:tcW w:w="584" w:type="pct"/>
            <w:shd w:val="clear" w:color="auto" w:fill="006EB0" w:themeFill="accent1"/>
            <w:hideMark/>
          </w:tcPr>
          <w:p w14:paraId="076BEF9C"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52D3EEA4"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Discuss re-deployment opportunities with employees.</w:t>
            </w:r>
          </w:p>
        </w:tc>
        <w:tc>
          <w:tcPr>
            <w:tcW w:w="533" w:type="pct"/>
            <w:shd w:val="clear" w:color="auto" w:fill="F2F2F2" w:themeFill="background1" w:themeFillShade="F2"/>
            <w:vAlign w:val="center"/>
            <w:hideMark/>
          </w:tcPr>
          <w:p w14:paraId="2776E18C" w14:textId="04A9F5BC"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612C8A67" w14:textId="77777777" w:rsidTr="000F5BEC">
        <w:tc>
          <w:tcPr>
            <w:tcW w:w="584" w:type="pct"/>
            <w:shd w:val="clear" w:color="auto" w:fill="006EB0" w:themeFill="accent1"/>
            <w:hideMark/>
          </w:tcPr>
          <w:p w14:paraId="1707C39F"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1FE86FA0"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Comply with obligations in awards, agreements, </w:t>
            </w:r>
            <w:proofErr w:type="gramStart"/>
            <w:r w:rsidRPr="002C02EA">
              <w:rPr>
                <w:rFonts w:asciiTheme="minorHAnsi" w:hAnsiTheme="minorHAnsi" w:cstheme="minorHAnsi"/>
                <w:sz w:val="22"/>
                <w:szCs w:val="22"/>
              </w:rPr>
              <w:t>contracts</w:t>
            </w:r>
            <w:proofErr w:type="gramEnd"/>
            <w:r w:rsidRPr="002C02EA">
              <w:rPr>
                <w:rFonts w:asciiTheme="minorHAnsi" w:hAnsiTheme="minorHAnsi" w:cstheme="minorHAnsi"/>
                <w:sz w:val="22"/>
                <w:szCs w:val="22"/>
              </w:rPr>
              <w:t xml:space="preserve"> and legislation.</w:t>
            </w:r>
          </w:p>
        </w:tc>
        <w:tc>
          <w:tcPr>
            <w:tcW w:w="533" w:type="pct"/>
            <w:shd w:val="clear" w:color="auto" w:fill="D9D9D9" w:themeFill="background1" w:themeFillShade="D9"/>
            <w:vAlign w:val="center"/>
            <w:hideMark/>
          </w:tcPr>
          <w:p w14:paraId="330EFDD4" w14:textId="778DE162"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3294F00A" w14:textId="77777777" w:rsidTr="000F5BEC">
        <w:tc>
          <w:tcPr>
            <w:tcW w:w="584" w:type="pct"/>
            <w:shd w:val="clear" w:color="auto" w:fill="006EB0" w:themeFill="accent1"/>
            <w:hideMark/>
          </w:tcPr>
          <w:p w14:paraId="04C669D6"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4AD6F71B"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Notify affected employee(s) and relevant unions (where required) of impending redundancies.</w:t>
            </w:r>
          </w:p>
        </w:tc>
        <w:tc>
          <w:tcPr>
            <w:tcW w:w="533" w:type="pct"/>
            <w:shd w:val="clear" w:color="auto" w:fill="F2F2F2" w:themeFill="background1" w:themeFillShade="F2"/>
            <w:vAlign w:val="center"/>
            <w:hideMark/>
          </w:tcPr>
          <w:p w14:paraId="33D2A1C6" w14:textId="20F80041"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1A268249" w14:textId="77777777" w:rsidTr="000F5BEC">
        <w:tc>
          <w:tcPr>
            <w:tcW w:w="584" w:type="pct"/>
            <w:shd w:val="clear" w:color="auto" w:fill="006EB0" w:themeFill="accent1"/>
            <w:hideMark/>
          </w:tcPr>
          <w:p w14:paraId="16C97193"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4916C1E2"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Ensure affected employee(s) understand the genuine operational reasons for the impending redundancies.</w:t>
            </w:r>
          </w:p>
        </w:tc>
        <w:tc>
          <w:tcPr>
            <w:tcW w:w="533" w:type="pct"/>
            <w:shd w:val="clear" w:color="auto" w:fill="D9D9D9" w:themeFill="background1" w:themeFillShade="D9"/>
            <w:vAlign w:val="center"/>
            <w:hideMark/>
          </w:tcPr>
          <w:p w14:paraId="0918DEC3" w14:textId="0D447BB0"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7EDC50DC" w14:textId="77777777" w:rsidTr="000F5BEC">
        <w:tc>
          <w:tcPr>
            <w:tcW w:w="584" w:type="pct"/>
            <w:shd w:val="clear" w:color="auto" w:fill="006EB0" w:themeFill="accent1"/>
            <w:hideMark/>
          </w:tcPr>
          <w:p w14:paraId="5260DAC6"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 </w:t>
            </w:r>
          </w:p>
        </w:tc>
        <w:tc>
          <w:tcPr>
            <w:tcW w:w="3883" w:type="pct"/>
            <w:shd w:val="clear" w:color="auto" w:fill="F2F2F2" w:themeFill="background1" w:themeFillShade="F2"/>
            <w:hideMark/>
          </w:tcPr>
          <w:p w14:paraId="68B5B6DE"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Notify the employee of his/her redundancy and final date of employment in writing.</w:t>
            </w:r>
          </w:p>
        </w:tc>
        <w:tc>
          <w:tcPr>
            <w:tcW w:w="533" w:type="pct"/>
            <w:shd w:val="clear" w:color="auto" w:fill="F2F2F2" w:themeFill="background1" w:themeFillShade="F2"/>
            <w:vAlign w:val="center"/>
            <w:hideMark/>
          </w:tcPr>
          <w:p w14:paraId="1E3553CB" w14:textId="093DA580"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3D35811A" w14:textId="77777777" w:rsidTr="000F5BEC">
        <w:tc>
          <w:tcPr>
            <w:tcW w:w="5000" w:type="pct"/>
            <w:gridSpan w:val="3"/>
            <w:shd w:val="clear" w:color="auto" w:fill="006EB0" w:themeFill="accent1"/>
            <w:hideMark/>
          </w:tcPr>
          <w:p w14:paraId="6516F803" w14:textId="77777777" w:rsidR="004816D5" w:rsidRPr="002C02EA" w:rsidRDefault="004816D5" w:rsidP="000F5BEC">
            <w:pPr>
              <w:pStyle w:val="Heading2"/>
              <w:spacing w:before="0" w:line="276" w:lineRule="auto"/>
              <w:jc w:val="center"/>
              <w:rPr>
                <w:rFonts w:asciiTheme="minorHAnsi" w:hAnsiTheme="minorHAnsi" w:cstheme="minorHAnsi"/>
                <w:snapToGrid w:val="0"/>
                <w:sz w:val="22"/>
                <w:szCs w:val="22"/>
              </w:rPr>
            </w:pPr>
            <w:r w:rsidRPr="002C02EA">
              <w:rPr>
                <w:rFonts w:asciiTheme="minorHAnsi" w:hAnsiTheme="minorHAnsi" w:cstheme="minorHAnsi"/>
                <w:color w:val="FFFFFF" w:themeColor="background1"/>
                <w:sz w:val="22"/>
                <w:szCs w:val="22"/>
              </w:rPr>
              <w:t>Entitlements</w:t>
            </w:r>
          </w:p>
        </w:tc>
      </w:tr>
      <w:tr w:rsidR="004816D5" w14:paraId="3583C9BF" w14:textId="77777777" w:rsidTr="000F5BEC">
        <w:tc>
          <w:tcPr>
            <w:tcW w:w="584" w:type="pct"/>
            <w:shd w:val="clear" w:color="auto" w:fill="006EB0" w:themeFill="accent1"/>
            <w:hideMark/>
          </w:tcPr>
          <w:p w14:paraId="48A69F82"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3B4208A2"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Identify any entitlement to redundancy/severance pay an employee might have under an applicable award or agreement, contract of employment, employer policy or legislation.</w:t>
            </w:r>
          </w:p>
        </w:tc>
        <w:tc>
          <w:tcPr>
            <w:tcW w:w="533" w:type="pct"/>
            <w:shd w:val="clear" w:color="auto" w:fill="D9D9D9" w:themeFill="background1" w:themeFillShade="D9"/>
            <w:vAlign w:val="center"/>
            <w:hideMark/>
          </w:tcPr>
          <w:p w14:paraId="6F51F07C" w14:textId="78D27EB8"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2E43E24B" w14:textId="77777777" w:rsidTr="000F5BEC">
        <w:tc>
          <w:tcPr>
            <w:tcW w:w="584" w:type="pct"/>
            <w:shd w:val="clear" w:color="auto" w:fill="006EB0" w:themeFill="accent1"/>
            <w:hideMark/>
          </w:tcPr>
          <w:p w14:paraId="1BDF723D"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662E5D6F"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Consider whether there are exclusions from paying redundancy pay under the applicable award or agreement, contract of employment, employer policy or legislation.</w:t>
            </w:r>
          </w:p>
        </w:tc>
        <w:tc>
          <w:tcPr>
            <w:tcW w:w="533" w:type="pct"/>
            <w:shd w:val="clear" w:color="auto" w:fill="F2F2F2" w:themeFill="background1" w:themeFillShade="F2"/>
            <w:vAlign w:val="center"/>
            <w:hideMark/>
          </w:tcPr>
          <w:p w14:paraId="1BC34BE9" w14:textId="645B916D"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18731A36" w14:textId="77777777" w:rsidTr="000F5BEC">
        <w:tc>
          <w:tcPr>
            <w:tcW w:w="584" w:type="pct"/>
            <w:shd w:val="clear" w:color="auto" w:fill="006EB0" w:themeFill="accent1"/>
            <w:hideMark/>
          </w:tcPr>
          <w:p w14:paraId="7D4D1702"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117897AC"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Discuss with an accountant or tax adviser any applicable </w:t>
            </w:r>
            <w:proofErr w:type="gramStart"/>
            <w:r w:rsidRPr="002C02EA">
              <w:rPr>
                <w:rFonts w:asciiTheme="minorHAnsi" w:hAnsiTheme="minorHAnsi" w:cstheme="minorHAnsi"/>
                <w:sz w:val="22"/>
                <w:szCs w:val="22"/>
              </w:rPr>
              <w:t>tax free</w:t>
            </w:r>
            <w:proofErr w:type="gramEnd"/>
            <w:r w:rsidRPr="002C02EA">
              <w:rPr>
                <w:rFonts w:asciiTheme="minorHAnsi" w:hAnsiTheme="minorHAnsi" w:cstheme="minorHAnsi"/>
                <w:sz w:val="22"/>
                <w:szCs w:val="22"/>
              </w:rPr>
              <w:t xml:space="preserve"> components of the redundancy/severance payments.</w:t>
            </w:r>
          </w:p>
        </w:tc>
        <w:tc>
          <w:tcPr>
            <w:tcW w:w="533" w:type="pct"/>
            <w:shd w:val="clear" w:color="auto" w:fill="D9D9D9" w:themeFill="background1" w:themeFillShade="D9"/>
            <w:vAlign w:val="center"/>
            <w:hideMark/>
          </w:tcPr>
          <w:p w14:paraId="5A5F6358" w14:textId="028DAB07"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0BE872C9" w14:textId="77777777" w:rsidTr="000F5BEC">
        <w:tc>
          <w:tcPr>
            <w:tcW w:w="584" w:type="pct"/>
            <w:shd w:val="clear" w:color="auto" w:fill="006EB0" w:themeFill="accent1"/>
            <w:hideMark/>
          </w:tcPr>
          <w:p w14:paraId="12C14B08"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1C683B57"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Consider whether you will offer additional severance payments to employees above their legal entitlements. If </w:t>
            </w:r>
            <w:proofErr w:type="gramStart"/>
            <w:r w:rsidRPr="002C02EA">
              <w:rPr>
                <w:rFonts w:asciiTheme="minorHAnsi" w:hAnsiTheme="minorHAnsi" w:cstheme="minorHAnsi"/>
                <w:sz w:val="22"/>
                <w:szCs w:val="22"/>
              </w:rPr>
              <w:t>so</w:t>
            </w:r>
            <w:proofErr w:type="gramEnd"/>
            <w:r w:rsidRPr="002C02EA">
              <w:rPr>
                <w:rFonts w:asciiTheme="minorHAnsi" w:hAnsiTheme="minorHAnsi" w:cstheme="minorHAnsi"/>
                <w:sz w:val="22"/>
                <w:szCs w:val="22"/>
              </w:rPr>
              <w:t xml:space="preserve"> consider using a Deed of Release.</w:t>
            </w:r>
          </w:p>
        </w:tc>
        <w:tc>
          <w:tcPr>
            <w:tcW w:w="533" w:type="pct"/>
            <w:shd w:val="clear" w:color="auto" w:fill="F2F2F2" w:themeFill="background1" w:themeFillShade="F2"/>
            <w:vAlign w:val="center"/>
            <w:hideMark/>
          </w:tcPr>
          <w:p w14:paraId="65B92C61" w14:textId="758DB55A"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73083C12" w14:textId="77777777" w:rsidTr="000F5BEC">
        <w:tc>
          <w:tcPr>
            <w:tcW w:w="584" w:type="pct"/>
            <w:shd w:val="clear" w:color="auto" w:fill="006EB0" w:themeFill="accent1"/>
            <w:hideMark/>
          </w:tcPr>
          <w:p w14:paraId="6F8851EC"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5BBBC0D2"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Check applicable award or agreement, contract of employment and legislation for minimum notice periods. Comply with these notice periods.</w:t>
            </w:r>
          </w:p>
        </w:tc>
        <w:tc>
          <w:tcPr>
            <w:tcW w:w="533" w:type="pct"/>
            <w:shd w:val="clear" w:color="auto" w:fill="D9D9D9" w:themeFill="background1" w:themeFillShade="D9"/>
            <w:vAlign w:val="center"/>
            <w:hideMark/>
          </w:tcPr>
          <w:p w14:paraId="4CE11C51" w14:textId="74C7E5AC"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6B11EEB8" w14:textId="77777777" w:rsidTr="000F5BEC">
        <w:tc>
          <w:tcPr>
            <w:tcW w:w="584" w:type="pct"/>
            <w:shd w:val="clear" w:color="auto" w:fill="006EB0" w:themeFill="accent1"/>
            <w:hideMark/>
          </w:tcPr>
          <w:p w14:paraId="1DF566EB"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6A79F9E5"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Calculate termination entitlements.</w:t>
            </w:r>
          </w:p>
        </w:tc>
        <w:tc>
          <w:tcPr>
            <w:tcW w:w="533" w:type="pct"/>
            <w:shd w:val="clear" w:color="auto" w:fill="F2F2F2" w:themeFill="background1" w:themeFillShade="F2"/>
            <w:vAlign w:val="center"/>
            <w:hideMark/>
          </w:tcPr>
          <w:p w14:paraId="6474ACB1" w14:textId="7C4EB193"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5D738E2C" w14:textId="77777777" w:rsidTr="000F5BEC">
        <w:tc>
          <w:tcPr>
            <w:tcW w:w="5000" w:type="pct"/>
            <w:gridSpan w:val="3"/>
            <w:shd w:val="clear" w:color="auto" w:fill="006EB0" w:themeFill="accent1"/>
            <w:hideMark/>
          </w:tcPr>
          <w:p w14:paraId="2A0002AE" w14:textId="77777777" w:rsidR="004816D5" w:rsidRPr="002C02EA" w:rsidRDefault="004816D5" w:rsidP="000F5BEC">
            <w:pPr>
              <w:pStyle w:val="Heading2"/>
              <w:spacing w:before="0" w:line="276" w:lineRule="auto"/>
              <w:jc w:val="center"/>
              <w:rPr>
                <w:rFonts w:asciiTheme="minorHAnsi" w:hAnsiTheme="minorHAnsi" w:cstheme="minorHAnsi"/>
                <w:snapToGrid w:val="0"/>
                <w:sz w:val="22"/>
                <w:szCs w:val="22"/>
              </w:rPr>
            </w:pPr>
            <w:r w:rsidRPr="002C02EA">
              <w:rPr>
                <w:rFonts w:asciiTheme="minorHAnsi" w:hAnsiTheme="minorHAnsi" w:cstheme="minorHAnsi"/>
                <w:color w:val="FFFFFF" w:themeColor="background1"/>
                <w:sz w:val="22"/>
                <w:szCs w:val="22"/>
              </w:rPr>
              <w:t>General</w:t>
            </w:r>
          </w:p>
        </w:tc>
      </w:tr>
      <w:tr w:rsidR="004816D5" w14:paraId="7B7E9CCD" w14:textId="77777777" w:rsidTr="000F5BEC">
        <w:tc>
          <w:tcPr>
            <w:tcW w:w="584" w:type="pct"/>
            <w:shd w:val="clear" w:color="auto" w:fill="006EB0" w:themeFill="accent1"/>
            <w:hideMark/>
          </w:tcPr>
          <w:p w14:paraId="35221A55"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7858FB61"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Notify other parties affected by the redundancy, </w:t>
            </w:r>
            <w:proofErr w:type="spellStart"/>
            <w:proofErr w:type="gramStart"/>
            <w:r w:rsidRPr="002C02EA">
              <w:rPr>
                <w:rFonts w:asciiTheme="minorHAnsi" w:hAnsiTheme="minorHAnsi" w:cstheme="minorHAnsi"/>
                <w:sz w:val="22"/>
                <w:szCs w:val="22"/>
              </w:rPr>
              <w:t>eg</w:t>
            </w:r>
            <w:proofErr w:type="spellEnd"/>
            <w:proofErr w:type="gramEnd"/>
            <w:r w:rsidRPr="002C02EA">
              <w:rPr>
                <w:rFonts w:asciiTheme="minorHAnsi" w:hAnsiTheme="minorHAnsi" w:cstheme="minorHAnsi"/>
                <w:sz w:val="22"/>
                <w:szCs w:val="22"/>
              </w:rPr>
              <w:t xml:space="preserve"> employee’s superannuation fund, workers’ compensation and other insurers (where relevant), other employees and managers, payroll, key customers etc.</w:t>
            </w:r>
          </w:p>
        </w:tc>
        <w:tc>
          <w:tcPr>
            <w:tcW w:w="533" w:type="pct"/>
            <w:shd w:val="clear" w:color="auto" w:fill="D9D9D9" w:themeFill="background1" w:themeFillShade="D9"/>
            <w:vAlign w:val="center"/>
            <w:hideMark/>
          </w:tcPr>
          <w:p w14:paraId="08B0A38A" w14:textId="37BE3E18"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33519A81" w14:textId="77777777" w:rsidTr="000F5BEC">
        <w:tc>
          <w:tcPr>
            <w:tcW w:w="584" w:type="pct"/>
            <w:shd w:val="clear" w:color="auto" w:fill="006EB0" w:themeFill="accent1"/>
            <w:hideMark/>
          </w:tcPr>
          <w:p w14:paraId="4352631A"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lastRenderedPageBreak/>
              <w:t> </w:t>
            </w:r>
          </w:p>
        </w:tc>
        <w:tc>
          <w:tcPr>
            <w:tcW w:w="3883" w:type="pct"/>
            <w:shd w:val="clear" w:color="auto" w:fill="F2F2F2" w:themeFill="background1" w:themeFillShade="F2"/>
            <w:hideMark/>
          </w:tcPr>
          <w:p w14:paraId="4AB0B563"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Issue an employment separation certificate.</w:t>
            </w:r>
          </w:p>
        </w:tc>
        <w:tc>
          <w:tcPr>
            <w:tcW w:w="533" w:type="pct"/>
            <w:shd w:val="clear" w:color="auto" w:fill="F2F2F2" w:themeFill="background1" w:themeFillShade="F2"/>
            <w:vAlign w:val="center"/>
            <w:hideMark/>
          </w:tcPr>
          <w:p w14:paraId="782B61BD" w14:textId="317B47DE"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297073BA" w14:textId="77777777" w:rsidTr="000F5BEC">
        <w:tc>
          <w:tcPr>
            <w:tcW w:w="584" w:type="pct"/>
            <w:shd w:val="clear" w:color="auto" w:fill="006EB0" w:themeFill="accent1"/>
            <w:hideMark/>
          </w:tcPr>
          <w:p w14:paraId="5CA110AB"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2A0946BD"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Check the applicable award, agreement or contract of employment, employer policies and legislation to see whether you must issue a statement of service.</w:t>
            </w:r>
          </w:p>
        </w:tc>
        <w:tc>
          <w:tcPr>
            <w:tcW w:w="533" w:type="pct"/>
            <w:shd w:val="clear" w:color="auto" w:fill="D9D9D9" w:themeFill="background1" w:themeFillShade="D9"/>
            <w:vAlign w:val="center"/>
            <w:hideMark/>
          </w:tcPr>
          <w:p w14:paraId="40EB999A" w14:textId="460EFB27"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1B24DAA1" w14:textId="77777777" w:rsidTr="000F5BEC">
        <w:tc>
          <w:tcPr>
            <w:tcW w:w="584" w:type="pct"/>
            <w:shd w:val="clear" w:color="auto" w:fill="006EB0" w:themeFill="accent1"/>
            <w:hideMark/>
          </w:tcPr>
          <w:p w14:paraId="5A1464AF"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F2F2F2" w:themeFill="background1" w:themeFillShade="F2"/>
            <w:hideMark/>
          </w:tcPr>
          <w:p w14:paraId="5B677DAA"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xml:space="preserve">Notify Centrelink where a decision has been made to terminate the employment of 15 or more employees for reasons of an economic, technological, </w:t>
            </w:r>
            <w:proofErr w:type="gramStart"/>
            <w:r w:rsidRPr="002C02EA">
              <w:rPr>
                <w:rFonts w:asciiTheme="minorHAnsi" w:hAnsiTheme="minorHAnsi" w:cstheme="minorHAnsi"/>
                <w:sz w:val="22"/>
                <w:szCs w:val="22"/>
              </w:rPr>
              <w:t>structural</w:t>
            </w:r>
            <w:proofErr w:type="gramEnd"/>
            <w:r w:rsidRPr="002C02EA">
              <w:rPr>
                <w:rFonts w:asciiTheme="minorHAnsi" w:hAnsiTheme="minorHAnsi" w:cstheme="minorHAnsi"/>
                <w:sz w:val="22"/>
                <w:szCs w:val="22"/>
              </w:rPr>
              <w:t xml:space="preserve"> or similar nature before termination.</w:t>
            </w:r>
          </w:p>
        </w:tc>
        <w:tc>
          <w:tcPr>
            <w:tcW w:w="533" w:type="pct"/>
            <w:shd w:val="clear" w:color="auto" w:fill="F2F2F2" w:themeFill="background1" w:themeFillShade="F2"/>
            <w:vAlign w:val="center"/>
            <w:hideMark/>
          </w:tcPr>
          <w:p w14:paraId="2C4CD8C5" w14:textId="1F83EC96"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816D5" w14:paraId="1A172F79" w14:textId="77777777" w:rsidTr="000F5BEC">
        <w:tc>
          <w:tcPr>
            <w:tcW w:w="584" w:type="pct"/>
            <w:shd w:val="clear" w:color="auto" w:fill="006EB0" w:themeFill="accent1"/>
            <w:hideMark/>
          </w:tcPr>
          <w:p w14:paraId="6FE41CE4" w14:textId="77777777" w:rsidR="004816D5" w:rsidRPr="002C02EA" w:rsidRDefault="004816D5" w:rsidP="004816D5">
            <w:pPr>
              <w:pStyle w:val="Level1General"/>
              <w:numPr>
                <w:ilvl w:val="0"/>
                <w:numId w:val="43"/>
              </w:numPr>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 </w:t>
            </w:r>
          </w:p>
        </w:tc>
        <w:tc>
          <w:tcPr>
            <w:tcW w:w="3883" w:type="pct"/>
            <w:shd w:val="clear" w:color="auto" w:fill="D9D9D9" w:themeFill="background1" w:themeFillShade="D9"/>
            <w:hideMark/>
          </w:tcPr>
          <w:p w14:paraId="1D353ED5" w14:textId="77777777" w:rsidR="004816D5" w:rsidRPr="002C02EA" w:rsidRDefault="004816D5" w:rsidP="00F376DA">
            <w:pPr>
              <w:pStyle w:val="BodyText"/>
              <w:spacing w:line="276" w:lineRule="auto"/>
              <w:rPr>
                <w:rFonts w:asciiTheme="minorHAnsi" w:hAnsiTheme="minorHAnsi" w:cstheme="minorHAnsi"/>
                <w:snapToGrid w:val="0"/>
                <w:sz w:val="22"/>
                <w:szCs w:val="22"/>
              </w:rPr>
            </w:pPr>
            <w:r w:rsidRPr="002C02EA">
              <w:rPr>
                <w:rFonts w:asciiTheme="minorHAnsi" w:hAnsiTheme="minorHAnsi" w:cstheme="minorHAnsi"/>
                <w:sz w:val="22"/>
                <w:szCs w:val="22"/>
              </w:rPr>
              <w:t>Arrange the return of any property of the employer which is in the employee’s custody, possession or control (</w:t>
            </w:r>
            <w:proofErr w:type="spellStart"/>
            <w:proofErr w:type="gramStart"/>
            <w:r w:rsidRPr="002C02EA">
              <w:rPr>
                <w:rFonts w:asciiTheme="minorHAnsi" w:hAnsiTheme="minorHAnsi" w:cstheme="minorHAnsi"/>
                <w:sz w:val="22"/>
                <w:szCs w:val="22"/>
              </w:rPr>
              <w:t>eg</w:t>
            </w:r>
            <w:proofErr w:type="spellEnd"/>
            <w:proofErr w:type="gramEnd"/>
            <w:r w:rsidRPr="002C02EA">
              <w:rPr>
                <w:rFonts w:asciiTheme="minorHAnsi" w:hAnsiTheme="minorHAnsi" w:cstheme="minorHAnsi"/>
                <w:sz w:val="22"/>
                <w:szCs w:val="22"/>
              </w:rPr>
              <w:t xml:space="preserve"> company vehicle, mobile phone, laptop, business cards, office keys, security passes etc). Also, change any passwords and other security measures, which would allow the employee in question to continue to gain access to the business or its computer network.</w:t>
            </w:r>
          </w:p>
        </w:tc>
        <w:tc>
          <w:tcPr>
            <w:tcW w:w="533" w:type="pct"/>
            <w:shd w:val="clear" w:color="auto" w:fill="D9D9D9" w:themeFill="background1" w:themeFillShade="D9"/>
            <w:vAlign w:val="center"/>
            <w:hideMark/>
          </w:tcPr>
          <w:p w14:paraId="1EB8295A" w14:textId="4361BE1C" w:rsidR="004816D5" w:rsidRPr="002C02EA" w:rsidRDefault="002C02EA" w:rsidP="00F376DA">
            <w:pPr>
              <w:spacing w:line="276" w:lineRule="auto"/>
              <w:jc w:val="center"/>
              <w:rPr>
                <w:rFonts w:asciiTheme="minorHAnsi" w:hAnsiTheme="minorHAnsi" w:cstheme="minorHAnsi"/>
                <w:sz w:val="22"/>
                <w:szCs w:val="22"/>
                <w:lang w:eastAsia="en-AU"/>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bl>
    <w:p w14:paraId="7C5F3CAC" w14:textId="64C97AE4" w:rsidR="00830AEF" w:rsidRDefault="00830AEF" w:rsidP="001B697E">
      <w:pPr>
        <w:pStyle w:val="BodyText"/>
      </w:pPr>
    </w:p>
    <w:p w14:paraId="207C7949" w14:textId="77777777" w:rsidR="003678E8" w:rsidRPr="00470175" w:rsidRDefault="003678E8" w:rsidP="001B697E">
      <w:pPr>
        <w:pStyle w:val="BodyText"/>
      </w:pPr>
    </w:p>
    <w:sectPr w:rsidR="003678E8"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F810" w14:textId="77777777" w:rsidR="00EB67D4" w:rsidRDefault="00EB67D4" w:rsidP="00C20C17">
      <w:r>
        <w:separator/>
      </w:r>
    </w:p>
  </w:endnote>
  <w:endnote w:type="continuationSeparator" w:id="0">
    <w:p w14:paraId="62F211DC" w14:textId="77777777" w:rsidR="00EB67D4" w:rsidRDefault="00EB67D4"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12E2BB87" w:rsidR="004E1B4D" w:rsidRPr="00420F07" w:rsidRDefault="002C02EA" w:rsidP="004E1B4D">
          <w:pPr>
            <w:pStyle w:val="Footer"/>
            <w:rPr>
              <w:b/>
              <w:bCs/>
            </w:rPr>
          </w:pPr>
          <w:r>
            <w:rPr>
              <w:b/>
              <w:bCs/>
            </w:rPr>
            <w:t>Redundancy checklist</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818F" w14:textId="77777777" w:rsidR="00EB67D4" w:rsidRDefault="00EB67D4" w:rsidP="00C20C17">
      <w:r>
        <w:separator/>
      </w:r>
    </w:p>
  </w:footnote>
  <w:footnote w:type="continuationSeparator" w:id="0">
    <w:p w14:paraId="2D3F99D1" w14:textId="77777777" w:rsidR="00EB67D4" w:rsidRDefault="00EB67D4"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574EF"/>
    <w:multiLevelType w:val="multilevel"/>
    <w:tmpl w:val="808C1962"/>
    <w:name w:val=" 2"/>
    <w:lvl w:ilvl="0">
      <w:start w:val="4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cs="Times New Roman"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790712C"/>
    <w:multiLevelType w:val="hybridMultilevel"/>
    <w:tmpl w:val="30A812E2"/>
    <w:lvl w:ilvl="0" w:tplc="FFFFFFFF">
      <w:start w:val="1"/>
      <w:numFmt w:val="bullet"/>
      <w:pStyle w:val="ChecklistItem"/>
      <w:lvlText w:val=""/>
      <w:lvlJc w:val="left"/>
      <w:pPr>
        <w:tabs>
          <w:tab w:val="num" w:pos="720"/>
        </w:tabs>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DD41F1C"/>
    <w:multiLevelType w:val="multilevel"/>
    <w:tmpl w:val="8658705E"/>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2B30489"/>
    <w:multiLevelType w:val="multilevel"/>
    <w:tmpl w:val="F438B886"/>
    <w:numStyleLink w:val="ListNumber"/>
  </w:abstractNum>
  <w:abstractNum w:abstractNumId="19" w15:restartNumberingAfterBreak="0">
    <w:nsid w:val="46FA3A4D"/>
    <w:multiLevelType w:val="multilevel"/>
    <w:tmpl w:val="8D0A5F62"/>
    <w:numStyleLink w:val="ListNbrHeading"/>
  </w:abstractNum>
  <w:abstractNum w:abstractNumId="20"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BA35ED"/>
    <w:multiLevelType w:val="hybridMultilevel"/>
    <w:tmpl w:val="FD7AD14E"/>
    <w:lvl w:ilvl="0" w:tplc="FFFFFFFF">
      <w:start w:val="1"/>
      <w:numFmt w:val="bullet"/>
      <w:pStyle w:val="BTBulleted"/>
      <w:lvlText w:val="·"/>
      <w:lvlJc w:val="left"/>
      <w:pPr>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804F7"/>
    <w:multiLevelType w:val="multilevel"/>
    <w:tmpl w:val="9C8890F6"/>
    <w:name w:val=" "/>
    <w:lvl w:ilvl="0">
      <w:start w:val="1"/>
      <w:numFmt w:val="decimal"/>
      <w:lvlText w:val="%1."/>
      <w:lvlJc w:val="left"/>
      <w:pPr>
        <w:tabs>
          <w:tab w:val="num" w:pos="720"/>
        </w:tabs>
        <w:ind w:left="720" w:hanging="720"/>
      </w:pPr>
      <w:rPr>
        <w:rFonts w:cs="Times New Roman"/>
        <w:color w:val="FFFFFF" w:themeColor="background1"/>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cs="Times New Roman"/>
        <w:color w:val="auto"/>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1"/>
  </w:num>
  <w:num w:numId="3">
    <w:abstractNumId w:val="35"/>
  </w:num>
  <w:num w:numId="4">
    <w:abstractNumId w:val="5"/>
  </w:num>
  <w:num w:numId="5">
    <w:abstractNumId w:val="3"/>
  </w:num>
  <w:num w:numId="6">
    <w:abstractNumId w:val="16"/>
  </w:num>
  <w:num w:numId="7">
    <w:abstractNumId w:val="11"/>
  </w:num>
  <w:num w:numId="8">
    <w:abstractNumId w:val="14"/>
  </w:num>
  <w:num w:numId="9">
    <w:abstractNumId w:val="11"/>
  </w:num>
  <w:num w:numId="10">
    <w:abstractNumId w:val="14"/>
  </w:num>
  <w:num w:numId="11">
    <w:abstractNumId w:val="18"/>
  </w:num>
  <w:num w:numId="12">
    <w:abstractNumId w:val="6"/>
  </w:num>
  <w:num w:numId="13">
    <w:abstractNumId w:val="19"/>
  </w:num>
  <w:num w:numId="14">
    <w:abstractNumId w:val="8"/>
  </w:num>
  <w:num w:numId="15">
    <w:abstractNumId w:val="13"/>
  </w:num>
  <w:num w:numId="16">
    <w:abstractNumId w:val="28"/>
  </w:num>
  <w:num w:numId="17">
    <w:abstractNumId w:val="24"/>
  </w:num>
  <w:num w:numId="18">
    <w:abstractNumId w:val="31"/>
  </w:num>
  <w:num w:numId="19">
    <w:abstractNumId w:val="4"/>
  </w:num>
  <w:num w:numId="20">
    <w:abstractNumId w:val="20"/>
  </w:num>
  <w:num w:numId="21">
    <w:abstractNumId w:val="20"/>
  </w:num>
  <w:num w:numId="22">
    <w:abstractNumId w:val="37"/>
  </w:num>
  <w:num w:numId="23">
    <w:abstractNumId w:val="32"/>
  </w:num>
  <w:num w:numId="24">
    <w:abstractNumId w:val="21"/>
  </w:num>
  <w:num w:numId="25">
    <w:abstractNumId w:val="33"/>
  </w:num>
  <w:num w:numId="26">
    <w:abstractNumId w:val="0"/>
  </w:num>
  <w:num w:numId="27">
    <w:abstractNumId w:val="7"/>
  </w:num>
  <w:num w:numId="28">
    <w:abstractNumId w:val="36"/>
  </w:num>
  <w:num w:numId="29">
    <w:abstractNumId w:val="25"/>
  </w:num>
  <w:num w:numId="30">
    <w:abstractNumId w:val="34"/>
  </w:num>
  <w:num w:numId="31">
    <w:abstractNumId w:val="23"/>
  </w:num>
  <w:num w:numId="32">
    <w:abstractNumId w:val="29"/>
  </w:num>
  <w:num w:numId="33">
    <w:abstractNumId w:val="27"/>
  </w:num>
  <w:num w:numId="34">
    <w:abstractNumId w:val="15"/>
  </w:num>
  <w:num w:numId="35">
    <w:abstractNumId w:val="22"/>
  </w:num>
  <w:num w:numId="36">
    <w:abstractNumId w:val="12"/>
  </w:num>
  <w:num w:numId="37">
    <w:abstractNumId w:val="30"/>
  </w:num>
  <w:num w:numId="38">
    <w:abstractNumId w:val="10"/>
  </w:num>
  <w:num w:numId="39">
    <w:abstractNumId w:val="38"/>
  </w:num>
  <w:num w:numId="40">
    <w:abstractNumId w:val="17"/>
  </w:num>
  <w:num w:numId="41">
    <w:abstractNumId w:val="9"/>
  </w:num>
  <w:num w:numId="42">
    <w:abstractNumId w:val="26"/>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0F5BEC"/>
    <w:rsid w:val="00100FEF"/>
    <w:rsid w:val="0010233F"/>
    <w:rsid w:val="0011582A"/>
    <w:rsid w:val="001273E5"/>
    <w:rsid w:val="00130D29"/>
    <w:rsid w:val="0013132C"/>
    <w:rsid w:val="00160434"/>
    <w:rsid w:val="00162DE7"/>
    <w:rsid w:val="00187D73"/>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02EA"/>
    <w:rsid w:val="002C11C5"/>
    <w:rsid w:val="002C5844"/>
    <w:rsid w:val="002D27CD"/>
    <w:rsid w:val="002D5FA0"/>
    <w:rsid w:val="002E496D"/>
    <w:rsid w:val="002F612F"/>
    <w:rsid w:val="00301E18"/>
    <w:rsid w:val="003520CD"/>
    <w:rsid w:val="0035730D"/>
    <w:rsid w:val="003678E8"/>
    <w:rsid w:val="003778E8"/>
    <w:rsid w:val="00380E47"/>
    <w:rsid w:val="00395CC2"/>
    <w:rsid w:val="003A0096"/>
    <w:rsid w:val="003A1399"/>
    <w:rsid w:val="003C3220"/>
    <w:rsid w:val="003D03B0"/>
    <w:rsid w:val="003E4D4F"/>
    <w:rsid w:val="003F4C3E"/>
    <w:rsid w:val="00403971"/>
    <w:rsid w:val="00411753"/>
    <w:rsid w:val="00420F07"/>
    <w:rsid w:val="00424C06"/>
    <w:rsid w:val="004256AC"/>
    <w:rsid w:val="00431B00"/>
    <w:rsid w:val="00436C82"/>
    <w:rsid w:val="004415A3"/>
    <w:rsid w:val="00445521"/>
    <w:rsid w:val="00456E30"/>
    <w:rsid w:val="00464F81"/>
    <w:rsid w:val="00470175"/>
    <w:rsid w:val="00470FDD"/>
    <w:rsid w:val="00480F76"/>
    <w:rsid w:val="004816D5"/>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07FA"/>
    <w:rsid w:val="005F739E"/>
    <w:rsid w:val="00617601"/>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054EC"/>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0AEF"/>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B67D4"/>
    <w:rsid w:val="00EE0187"/>
    <w:rsid w:val="00F02DAF"/>
    <w:rsid w:val="00F04459"/>
    <w:rsid w:val="00F11CEE"/>
    <w:rsid w:val="00F13322"/>
    <w:rsid w:val="00F24948"/>
    <w:rsid w:val="00F34109"/>
    <w:rsid w:val="00F374DB"/>
    <w:rsid w:val="00F56344"/>
    <w:rsid w:val="00F81124"/>
    <w:rsid w:val="00F9070E"/>
    <w:rsid w:val="00FA639A"/>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 w:type="paragraph" w:customStyle="1" w:styleId="Level1General">
    <w:name w:val="Level 1 (General)"/>
    <w:basedOn w:val="Normal"/>
    <w:uiPriority w:val="99"/>
    <w:rsid w:val="003678E8"/>
    <w:pPr>
      <w:tabs>
        <w:tab w:val="num" w:pos="720"/>
      </w:tabs>
      <w:spacing w:after="120"/>
      <w:ind w:left="720" w:hanging="720"/>
      <w:outlineLvl w:val="0"/>
    </w:pPr>
    <w:rPr>
      <w:lang w:val="en-GB" w:eastAsia="en-US"/>
    </w:rPr>
  </w:style>
  <w:style w:type="paragraph" w:customStyle="1" w:styleId="Level3General">
    <w:name w:val="Level 3 (General)"/>
    <w:basedOn w:val="Normal"/>
    <w:uiPriority w:val="99"/>
    <w:rsid w:val="003678E8"/>
    <w:pPr>
      <w:tabs>
        <w:tab w:val="num" w:pos="1440"/>
        <w:tab w:val="num" w:pos="2160"/>
      </w:tabs>
      <w:spacing w:after="120"/>
      <w:ind w:left="2160" w:hanging="720"/>
      <w:outlineLvl w:val="2"/>
    </w:pPr>
    <w:rPr>
      <w:lang w:val="en-GB" w:eastAsia="en-US"/>
    </w:rPr>
  </w:style>
  <w:style w:type="paragraph" w:customStyle="1" w:styleId="ChecklistItem">
    <w:name w:val="ChecklistItem"/>
    <w:basedOn w:val="BodyText"/>
    <w:uiPriority w:val="99"/>
    <w:rsid w:val="003678E8"/>
    <w:pPr>
      <w:numPr>
        <w:numId w:val="38"/>
      </w:numPr>
      <w:spacing w:before="0" w:line="240" w:lineRule="auto"/>
    </w:pPr>
    <w:rPr>
      <w:lang w:val="en-GB" w:eastAsia="en-US"/>
    </w:rPr>
  </w:style>
  <w:style w:type="character" w:customStyle="1" w:styleId="Italics">
    <w:name w:val="Italics"/>
    <w:uiPriority w:val="99"/>
    <w:rsid w:val="003678E8"/>
    <w:rPr>
      <w:rFonts w:cs="Times New Roman"/>
      <w:i/>
      <w:iCs/>
      <w:color w:val="auto"/>
    </w:rPr>
  </w:style>
  <w:style w:type="character" w:customStyle="1" w:styleId="Bold">
    <w:name w:val="Bold"/>
    <w:uiPriority w:val="99"/>
    <w:rsid w:val="003678E8"/>
    <w:rPr>
      <w:rFonts w:cs="Times New Roman"/>
      <w:b/>
      <w:bCs/>
      <w:color w:val="auto"/>
    </w:rPr>
  </w:style>
  <w:style w:type="paragraph" w:customStyle="1" w:styleId="Level2General">
    <w:name w:val="Level 2 (General)"/>
    <w:basedOn w:val="Normal"/>
    <w:uiPriority w:val="99"/>
    <w:rsid w:val="004816D5"/>
    <w:pPr>
      <w:tabs>
        <w:tab w:val="num" w:pos="1440"/>
      </w:tabs>
      <w:spacing w:after="120"/>
      <w:ind w:left="1440" w:hanging="720"/>
      <w:outlineLvl w:val="1"/>
    </w:pPr>
    <w:rPr>
      <w:lang w:val="en-GB" w:eastAsia="en-US"/>
    </w:rPr>
  </w:style>
  <w:style w:type="paragraph" w:customStyle="1" w:styleId="BTBulleted">
    <w:name w:val="BTBulleted"/>
    <w:basedOn w:val="BodyText"/>
    <w:uiPriority w:val="99"/>
    <w:rsid w:val="004816D5"/>
    <w:pPr>
      <w:numPr>
        <w:numId w:val="42"/>
      </w:numPr>
      <w:spacing w:before="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Name of checklist</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 Record Keeping Checklist</dc:title>
  <dc:subject>eBook</dc:subject>
  <dc:creator>yvett</dc:creator>
  <cp:keywords/>
  <dc:description/>
  <cp:lastModifiedBy>Nicole Howe</cp:lastModifiedBy>
  <cp:revision>4</cp:revision>
  <cp:lastPrinted>2020-06-08T01:52:00Z</cp:lastPrinted>
  <dcterms:created xsi:type="dcterms:W3CDTF">2021-10-29T05:33:00Z</dcterms:created>
  <dcterms:modified xsi:type="dcterms:W3CDTF">2021-11-18T00:33:00Z</dcterms:modified>
</cp:coreProperties>
</file>