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454996B3" w:rsidR="004834CA" w:rsidRPr="00404C7A" w:rsidRDefault="00114569" w:rsidP="00546653">
      <w:pPr>
        <w:pStyle w:val="Heading2"/>
        <w:rPr>
          <w:rFonts w:eastAsia="Times New Roman"/>
          <w:sz w:val="56"/>
          <w:szCs w:val="56"/>
        </w:rPr>
      </w:pPr>
      <w:r>
        <w:rPr>
          <w:rFonts w:eastAsiaTheme="minorHAnsi"/>
          <w:sz w:val="56"/>
          <w:szCs w:val="56"/>
          <w:lang w:val="en-GB" w:eastAsia="en-US"/>
        </w:rPr>
        <w:t>Redundancy Policy</w:t>
      </w:r>
    </w:p>
    <w:tbl>
      <w:tblPr>
        <w:tblStyle w:val="PrimaryTable"/>
        <w:tblW w:w="0" w:type="auto"/>
        <w:tblLook w:val="04A0" w:firstRow="1" w:lastRow="0" w:firstColumn="1" w:lastColumn="0" w:noHBand="0" w:noVBand="1"/>
      </w:tblPr>
      <w:tblGrid>
        <w:gridCol w:w="3544"/>
        <w:gridCol w:w="5243"/>
      </w:tblGrid>
      <w:tr w:rsidR="004834CA" w14:paraId="2AFE7209" w14:textId="77777777" w:rsidTr="00404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B7FDE57" w14:textId="14B7319F"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Effective Date</w:t>
            </w:r>
          </w:p>
        </w:tc>
        <w:tc>
          <w:tcPr>
            <w:tcW w:w="5243" w:type="dxa"/>
            <w:shd w:val="clear" w:color="auto" w:fill="F2F2F2" w:themeFill="background1" w:themeFillShade="F2"/>
          </w:tcPr>
          <w:p w14:paraId="538185FF" w14:textId="77777777" w:rsidR="004834CA" w:rsidRPr="004834CA" w:rsidRDefault="004834CA" w:rsidP="004834C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0D6CDE5C"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10B5E558" w14:textId="349F513D"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Date Last Reviewed</w:t>
            </w:r>
          </w:p>
        </w:tc>
        <w:tc>
          <w:tcPr>
            <w:tcW w:w="5243" w:type="dxa"/>
          </w:tcPr>
          <w:p w14:paraId="2D2C0948"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39E9901B"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92D83C9" w14:textId="1C81473D"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Scheduled Review Date</w:t>
            </w:r>
          </w:p>
        </w:tc>
        <w:tc>
          <w:tcPr>
            <w:tcW w:w="5243" w:type="dxa"/>
          </w:tcPr>
          <w:p w14:paraId="4225A9A2"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408AF50"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4942379E" w14:textId="088FBEB5"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Supersedes</w:t>
            </w:r>
          </w:p>
        </w:tc>
        <w:tc>
          <w:tcPr>
            <w:tcW w:w="5243" w:type="dxa"/>
          </w:tcPr>
          <w:p w14:paraId="0C5C828A"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F8351F7"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CCB92B9" w14:textId="129C1D51"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Approved By</w:t>
            </w:r>
          </w:p>
        </w:tc>
        <w:tc>
          <w:tcPr>
            <w:tcW w:w="5243" w:type="dxa"/>
          </w:tcPr>
          <w:p w14:paraId="18C8842C"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08795B93" w14:textId="4D4DDFA1" w:rsidR="00002063" w:rsidRPr="00404C7A" w:rsidRDefault="00002063" w:rsidP="00546653">
      <w:pPr>
        <w:pStyle w:val="Heading3"/>
        <w:jc w:val="both"/>
        <w:rPr>
          <w:rFonts w:eastAsiaTheme="minorHAnsi"/>
          <w:sz w:val="36"/>
          <w:szCs w:val="36"/>
          <w:lang w:val="en-GB" w:eastAsia="en-US"/>
        </w:rPr>
      </w:pPr>
      <w:r w:rsidRPr="00404C7A">
        <w:rPr>
          <w:rFonts w:eastAsiaTheme="minorHAnsi"/>
          <w:sz w:val="36"/>
          <w:szCs w:val="36"/>
          <w:lang w:val="en-GB" w:eastAsia="en-US"/>
        </w:rPr>
        <w:t>Purpose</w:t>
      </w:r>
    </w:p>
    <w:p w14:paraId="7109DD81" w14:textId="3F00F4D2" w:rsidR="00114569" w:rsidRPr="00114569" w:rsidRDefault="00114569" w:rsidP="00114569">
      <w:pPr>
        <w:pStyle w:val="BodyText"/>
        <w:rPr>
          <w:rFonts w:asciiTheme="minorHAnsi" w:hAnsiTheme="minorHAnsi" w:cstheme="minorHAnsi"/>
          <w:sz w:val="22"/>
          <w:szCs w:val="22"/>
        </w:rPr>
      </w:pPr>
      <w:r w:rsidRPr="00114569">
        <w:rPr>
          <w:rFonts w:asciiTheme="minorHAnsi" w:hAnsiTheme="minorHAnsi" w:cstheme="minorHAnsi"/>
          <w:sz w:val="22"/>
          <w:szCs w:val="22"/>
        </w:rPr>
        <w:t xml:space="preserve">This Redundancy Policy (‘Policy’) sets out </w:t>
      </w:r>
      <w:r w:rsidRPr="00114569">
        <w:rPr>
          <w:rFonts w:asciiTheme="minorHAnsi" w:hAnsiTheme="minorHAnsi" w:cstheme="minorHAnsi"/>
          <w:sz w:val="22"/>
          <w:szCs w:val="22"/>
          <w:highlight w:val="yellow"/>
        </w:rPr>
        <w:t>Organisation name</w:t>
      </w:r>
      <w:r w:rsidRPr="00114569">
        <w:rPr>
          <w:rFonts w:asciiTheme="minorHAnsi" w:hAnsiTheme="minorHAnsi" w:cstheme="minorHAnsi"/>
          <w:sz w:val="22"/>
          <w:szCs w:val="22"/>
        </w:rPr>
        <w:t xml:space="preserve"> </w:t>
      </w:r>
      <w:r>
        <w:rPr>
          <w:rFonts w:asciiTheme="minorHAnsi" w:hAnsiTheme="minorHAnsi" w:cstheme="minorHAnsi"/>
          <w:sz w:val="22"/>
          <w:szCs w:val="22"/>
        </w:rPr>
        <w:t>p</w:t>
      </w:r>
      <w:r w:rsidRPr="00114569">
        <w:rPr>
          <w:rFonts w:asciiTheme="minorHAnsi" w:hAnsiTheme="minorHAnsi" w:cstheme="minorHAnsi"/>
          <w:sz w:val="22"/>
          <w:szCs w:val="22"/>
        </w:rPr>
        <w:t>olicy when redundancy occurs and benefits that may be provided in the event of redundancy.</w:t>
      </w:r>
    </w:p>
    <w:p w14:paraId="5694CC1A" w14:textId="616FE3EF" w:rsidR="00002063" w:rsidRPr="00404C7A" w:rsidRDefault="004834CA" w:rsidP="00546653">
      <w:pPr>
        <w:pStyle w:val="Heading3"/>
        <w:jc w:val="both"/>
        <w:rPr>
          <w:rFonts w:eastAsiaTheme="minorHAnsi"/>
          <w:sz w:val="36"/>
          <w:szCs w:val="36"/>
          <w:lang w:val="en-GB" w:eastAsia="en-US"/>
        </w:rPr>
      </w:pPr>
      <w:r w:rsidRPr="00404C7A">
        <w:rPr>
          <w:rFonts w:eastAsiaTheme="minorHAnsi"/>
          <w:sz w:val="36"/>
          <w:szCs w:val="36"/>
          <w:lang w:val="en-GB" w:eastAsia="en-US"/>
        </w:rPr>
        <w:t>Scope</w:t>
      </w:r>
      <w:r w:rsidR="0089601F" w:rsidRPr="00404C7A">
        <w:rPr>
          <w:rFonts w:eastAsiaTheme="minorHAnsi"/>
          <w:sz w:val="36"/>
          <w:szCs w:val="36"/>
          <w:lang w:val="en-GB" w:eastAsia="en-US"/>
        </w:rPr>
        <w:t xml:space="preserve"> </w:t>
      </w:r>
    </w:p>
    <w:p w14:paraId="0200788E" w14:textId="77777777" w:rsidR="00114569" w:rsidRDefault="00D6592E" w:rsidP="00114569">
      <w:pPr>
        <w:pStyle w:val="BodyText"/>
        <w:jc w:val="both"/>
        <w:rPr>
          <w:rFonts w:asciiTheme="minorHAnsi" w:eastAsiaTheme="minorHAnsi" w:hAnsiTheme="minorHAnsi" w:cstheme="minorHAnsi"/>
          <w:sz w:val="22"/>
          <w:szCs w:val="22"/>
          <w:lang w:val="en-GB" w:eastAsia="en-US"/>
        </w:rPr>
      </w:pPr>
      <w:r w:rsidRPr="00D6592E">
        <w:rPr>
          <w:rFonts w:asciiTheme="minorHAnsi" w:eastAsiaTheme="minorHAnsi" w:hAnsiTheme="minorHAnsi" w:cstheme="minorHAnsi"/>
          <w:sz w:val="22"/>
          <w:szCs w:val="22"/>
          <w:highlight w:val="yellow"/>
          <w:lang w:val="en-GB" w:eastAsia="en-US"/>
        </w:rPr>
        <w:t>Edit or delete Scope as required</w:t>
      </w:r>
      <w:r>
        <w:rPr>
          <w:rFonts w:asciiTheme="minorHAnsi" w:eastAsiaTheme="minorHAnsi" w:hAnsiTheme="minorHAnsi" w:cstheme="minorHAnsi"/>
          <w:sz w:val="22"/>
          <w:szCs w:val="22"/>
          <w:lang w:val="en-GB" w:eastAsia="en-US"/>
        </w:rPr>
        <w:t xml:space="preserve"> </w:t>
      </w:r>
      <w:bookmarkStart w:id="0" w:name="_Toc73700451"/>
    </w:p>
    <w:p w14:paraId="6E31C812" w14:textId="671D8C3E" w:rsidR="00114569" w:rsidRPr="00114569" w:rsidRDefault="00114569" w:rsidP="00114569">
      <w:pPr>
        <w:pStyle w:val="BodyText"/>
        <w:jc w:val="both"/>
        <w:rPr>
          <w:rFonts w:asciiTheme="minorHAnsi" w:eastAsiaTheme="minorHAnsi" w:hAnsiTheme="minorHAnsi" w:cstheme="minorHAnsi"/>
          <w:sz w:val="22"/>
          <w:szCs w:val="22"/>
          <w:lang w:val="en-GB" w:eastAsia="en-US"/>
        </w:rPr>
      </w:pPr>
      <w:r w:rsidRPr="00114569">
        <w:rPr>
          <w:rFonts w:asciiTheme="minorHAnsi" w:eastAsiaTheme="minorHAnsi" w:hAnsiTheme="minorHAnsi" w:cstheme="minorHAnsi"/>
          <w:sz w:val="22"/>
          <w:szCs w:val="22"/>
          <w:lang w:val="en-GB" w:eastAsia="en-US"/>
        </w:rPr>
        <w:t xml:space="preserve">The Policy is not intended to create or confer any entitlement on an Employee. It does not form part of any Employee’s contract of employment. </w:t>
      </w:r>
    </w:p>
    <w:p w14:paraId="3F357D28" w14:textId="7A5E19B7" w:rsidR="00114569" w:rsidRPr="00114569" w:rsidRDefault="00114569" w:rsidP="00114569">
      <w:pPr>
        <w:pStyle w:val="BodyText"/>
        <w:jc w:val="both"/>
        <w:rPr>
          <w:rFonts w:asciiTheme="minorHAnsi" w:eastAsiaTheme="minorHAnsi" w:hAnsiTheme="minorHAnsi" w:cstheme="minorHAnsi"/>
          <w:sz w:val="22"/>
          <w:szCs w:val="22"/>
          <w:lang w:val="en-GB" w:eastAsia="en-US"/>
        </w:rPr>
      </w:pPr>
      <w:r w:rsidRPr="00114569">
        <w:rPr>
          <w:rFonts w:asciiTheme="minorHAnsi" w:eastAsiaTheme="minorHAnsi" w:hAnsiTheme="minorHAnsi" w:cstheme="minorHAnsi"/>
          <w:sz w:val="22"/>
          <w:szCs w:val="22"/>
          <w:lang w:val="en-GB" w:eastAsia="en-US"/>
        </w:rPr>
        <w:t xml:space="preserve">Any payments made under this Policy (including determining the amount of such payment) is at the absolute discretion of </w:t>
      </w:r>
      <w:r w:rsidR="008408EF">
        <w:rPr>
          <w:rFonts w:asciiTheme="minorHAnsi" w:eastAsiaTheme="minorHAnsi" w:hAnsiTheme="minorHAnsi" w:cstheme="minorHAnsi"/>
          <w:sz w:val="22"/>
          <w:szCs w:val="22"/>
          <w:highlight w:val="yellow"/>
          <w:lang w:val="en-GB" w:eastAsia="en-US"/>
        </w:rPr>
        <w:t>O</w:t>
      </w:r>
      <w:r w:rsidRPr="00114569">
        <w:rPr>
          <w:rFonts w:asciiTheme="minorHAnsi" w:eastAsiaTheme="minorHAnsi" w:hAnsiTheme="minorHAnsi" w:cstheme="minorHAnsi"/>
          <w:sz w:val="22"/>
          <w:szCs w:val="22"/>
          <w:highlight w:val="yellow"/>
          <w:lang w:val="en-GB" w:eastAsia="en-US"/>
        </w:rPr>
        <w:t>rganisation name</w:t>
      </w:r>
      <w:r w:rsidRPr="00114569">
        <w:rPr>
          <w:rFonts w:asciiTheme="minorHAnsi" w:eastAsiaTheme="minorHAnsi" w:hAnsiTheme="minorHAnsi" w:cstheme="minorHAnsi"/>
          <w:sz w:val="22"/>
          <w:szCs w:val="22"/>
          <w:lang w:val="en-GB" w:eastAsia="en-US"/>
        </w:rPr>
        <w:t xml:space="preserve">. For the purposes of exercising its discretion in respect of these payments, </w:t>
      </w:r>
      <w:r w:rsidR="008408EF">
        <w:rPr>
          <w:rFonts w:asciiTheme="minorHAnsi" w:eastAsiaTheme="minorHAnsi" w:hAnsiTheme="minorHAnsi" w:cstheme="minorHAnsi"/>
          <w:sz w:val="22"/>
          <w:szCs w:val="22"/>
          <w:highlight w:val="yellow"/>
          <w:lang w:val="en-GB" w:eastAsia="en-US"/>
        </w:rPr>
        <w:t>O</w:t>
      </w:r>
      <w:r w:rsidRPr="00114569">
        <w:rPr>
          <w:rFonts w:asciiTheme="minorHAnsi" w:eastAsiaTheme="minorHAnsi" w:hAnsiTheme="minorHAnsi" w:cstheme="minorHAnsi"/>
          <w:sz w:val="22"/>
          <w:szCs w:val="22"/>
          <w:highlight w:val="yellow"/>
          <w:lang w:val="en-GB" w:eastAsia="en-US"/>
        </w:rPr>
        <w:t>rganisation name</w:t>
      </w:r>
      <w:r w:rsidRPr="00114569">
        <w:rPr>
          <w:rFonts w:asciiTheme="minorHAnsi" w:eastAsiaTheme="minorHAnsi" w:hAnsiTheme="minorHAnsi" w:cstheme="minorHAnsi"/>
          <w:sz w:val="22"/>
          <w:szCs w:val="22"/>
          <w:lang w:val="en-GB" w:eastAsia="en-US"/>
        </w:rPr>
        <w:t xml:space="preserve"> may act arbitrarily, with any payment being entirely gratuitous and voluntary.</w:t>
      </w:r>
    </w:p>
    <w:p w14:paraId="1E03CE6B" w14:textId="10981722" w:rsidR="00114569" w:rsidRPr="00114569" w:rsidRDefault="00114569" w:rsidP="00114569">
      <w:pPr>
        <w:pStyle w:val="BodyText"/>
        <w:jc w:val="both"/>
        <w:rPr>
          <w:rFonts w:asciiTheme="minorHAnsi" w:eastAsiaTheme="minorHAnsi" w:hAnsiTheme="minorHAnsi" w:cstheme="minorHAnsi"/>
          <w:sz w:val="22"/>
          <w:szCs w:val="22"/>
          <w:lang w:val="en-GB" w:eastAsia="en-US"/>
        </w:rPr>
      </w:pPr>
      <w:r w:rsidRPr="00114569">
        <w:rPr>
          <w:rFonts w:asciiTheme="minorHAnsi" w:eastAsiaTheme="minorHAnsi" w:hAnsiTheme="minorHAnsi" w:cstheme="minorHAnsi"/>
          <w:sz w:val="22"/>
          <w:szCs w:val="22"/>
          <w:lang w:val="en-GB" w:eastAsia="en-US"/>
        </w:rPr>
        <w:t>In addition to the other exclusions specified in this Policy, the Policy does not apply in the following circumstances:</w:t>
      </w:r>
    </w:p>
    <w:p w14:paraId="3383B1BA" w14:textId="0FA013E1" w:rsidR="00114569" w:rsidRPr="00114569" w:rsidRDefault="00114569" w:rsidP="00114569">
      <w:pPr>
        <w:pStyle w:val="BodyText"/>
        <w:ind w:left="720" w:hanging="720"/>
        <w:jc w:val="both"/>
        <w:rPr>
          <w:rFonts w:asciiTheme="minorHAnsi" w:eastAsiaTheme="minorHAnsi" w:hAnsiTheme="minorHAnsi" w:cstheme="minorHAnsi"/>
          <w:sz w:val="22"/>
          <w:szCs w:val="22"/>
          <w:lang w:val="en-GB" w:eastAsia="en-US"/>
        </w:rPr>
      </w:pPr>
      <w:r w:rsidRPr="00114569">
        <w:rPr>
          <w:rFonts w:asciiTheme="minorHAnsi" w:eastAsiaTheme="minorHAnsi" w:hAnsiTheme="minorHAnsi" w:cstheme="minorHAnsi"/>
          <w:sz w:val="22"/>
          <w:szCs w:val="22"/>
          <w:lang w:val="en-GB" w:eastAsia="en-US"/>
        </w:rPr>
        <w:t>a)</w:t>
      </w:r>
      <w:r w:rsidRPr="00114569">
        <w:rPr>
          <w:rFonts w:asciiTheme="minorHAnsi" w:eastAsiaTheme="minorHAnsi" w:hAnsiTheme="minorHAnsi" w:cstheme="minorHAnsi"/>
          <w:sz w:val="22"/>
          <w:szCs w:val="22"/>
          <w:lang w:val="en-GB" w:eastAsia="en-US"/>
        </w:rPr>
        <w:tab/>
        <w:t xml:space="preserve">where employment is terminated as a consequence of misconduct, performance issues, negligence, abandonment, neglect or refusal of duty, or voluntary resignation on the part of the Employee at any time prior to the expiry of the notice of </w:t>
      </w:r>
      <w:proofErr w:type="gramStart"/>
      <w:r w:rsidRPr="00114569">
        <w:rPr>
          <w:rFonts w:asciiTheme="minorHAnsi" w:eastAsiaTheme="minorHAnsi" w:hAnsiTheme="minorHAnsi" w:cstheme="minorHAnsi"/>
          <w:sz w:val="22"/>
          <w:szCs w:val="22"/>
          <w:lang w:val="en-GB" w:eastAsia="en-US"/>
        </w:rPr>
        <w:t>redundancy;</w:t>
      </w:r>
      <w:proofErr w:type="gramEnd"/>
    </w:p>
    <w:p w14:paraId="3F373E67" w14:textId="34BCABBF" w:rsidR="00114569" w:rsidRPr="00114569" w:rsidRDefault="00114569" w:rsidP="00114569">
      <w:pPr>
        <w:pStyle w:val="BodyText"/>
        <w:jc w:val="both"/>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b</w:t>
      </w:r>
      <w:r w:rsidRPr="00114569">
        <w:rPr>
          <w:rFonts w:asciiTheme="minorHAnsi" w:eastAsiaTheme="minorHAnsi" w:hAnsiTheme="minorHAnsi" w:cstheme="minorHAnsi"/>
          <w:sz w:val="22"/>
          <w:szCs w:val="22"/>
          <w:lang w:val="en-GB" w:eastAsia="en-US"/>
        </w:rPr>
        <w:t>)</w:t>
      </w:r>
      <w:r w:rsidRPr="00114569">
        <w:rPr>
          <w:rFonts w:asciiTheme="minorHAnsi" w:eastAsiaTheme="minorHAnsi" w:hAnsiTheme="minorHAnsi" w:cstheme="minorHAnsi"/>
          <w:sz w:val="22"/>
          <w:szCs w:val="22"/>
          <w:lang w:val="en-GB" w:eastAsia="en-US"/>
        </w:rPr>
        <w:tab/>
        <w:t xml:space="preserve">the employee is not an Employee as defined by this </w:t>
      </w:r>
      <w:proofErr w:type="gramStart"/>
      <w:r w:rsidRPr="00114569">
        <w:rPr>
          <w:rFonts w:asciiTheme="minorHAnsi" w:eastAsiaTheme="minorHAnsi" w:hAnsiTheme="minorHAnsi" w:cstheme="minorHAnsi"/>
          <w:sz w:val="22"/>
          <w:szCs w:val="22"/>
          <w:lang w:val="en-GB" w:eastAsia="en-US"/>
        </w:rPr>
        <w:t>Policy;</w:t>
      </w:r>
      <w:proofErr w:type="gramEnd"/>
    </w:p>
    <w:p w14:paraId="6D45C615" w14:textId="2C06EA64" w:rsidR="00114569" w:rsidRPr="00114569" w:rsidRDefault="00114569" w:rsidP="00114569">
      <w:pPr>
        <w:pStyle w:val="BodyText"/>
        <w:jc w:val="both"/>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c</w:t>
      </w:r>
      <w:r w:rsidRPr="00114569">
        <w:rPr>
          <w:rFonts w:asciiTheme="minorHAnsi" w:eastAsiaTheme="minorHAnsi" w:hAnsiTheme="minorHAnsi" w:cstheme="minorHAnsi"/>
          <w:sz w:val="22"/>
          <w:szCs w:val="22"/>
          <w:lang w:val="en-GB" w:eastAsia="en-US"/>
        </w:rPr>
        <w:t>)</w:t>
      </w:r>
      <w:r w:rsidRPr="00114569">
        <w:rPr>
          <w:rFonts w:asciiTheme="minorHAnsi" w:eastAsiaTheme="minorHAnsi" w:hAnsiTheme="minorHAnsi" w:cstheme="minorHAnsi"/>
          <w:sz w:val="22"/>
          <w:szCs w:val="22"/>
          <w:lang w:val="en-GB" w:eastAsia="en-US"/>
        </w:rPr>
        <w:tab/>
        <w:t xml:space="preserve">where </w:t>
      </w:r>
      <w:r w:rsidR="008408EF">
        <w:rPr>
          <w:rFonts w:asciiTheme="minorHAnsi" w:eastAsiaTheme="minorHAnsi" w:hAnsiTheme="minorHAnsi" w:cstheme="minorHAnsi"/>
          <w:sz w:val="22"/>
          <w:szCs w:val="22"/>
          <w:highlight w:val="yellow"/>
          <w:lang w:val="en-GB" w:eastAsia="en-US"/>
        </w:rPr>
        <w:t>O</w:t>
      </w:r>
      <w:r w:rsidRPr="00114569">
        <w:rPr>
          <w:rFonts w:asciiTheme="minorHAnsi" w:eastAsiaTheme="minorHAnsi" w:hAnsiTheme="minorHAnsi" w:cstheme="minorHAnsi"/>
          <w:sz w:val="22"/>
          <w:szCs w:val="22"/>
          <w:highlight w:val="yellow"/>
          <w:lang w:val="en-GB" w:eastAsia="en-US"/>
        </w:rPr>
        <w:t>rganisation name</w:t>
      </w:r>
      <w:r w:rsidRPr="00114569">
        <w:rPr>
          <w:rFonts w:asciiTheme="minorHAnsi" w:eastAsiaTheme="minorHAnsi" w:hAnsiTheme="minorHAnsi" w:cstheme="minorHAnsi"/>
          <w:sz w:val="22"/>
          <w:szCs w:val="22"/>
          <w:lang w:val="en-GB" w:eastAsia="en-US"/>
        </w:rPr>
        <w:t xml:space="preserve"> redeploys the </w:t>
      </w:r>
      <w:proofErr w:type="gramStart"/>
      <w:r w:rsidRPr="00114569">
        <w:rPr>
          <w:rFonts w:asciiTheme="minorHAnsi" w:eastAsiaTheme="minorHAnsi" w:hAnsiTheme="minorHAnsi" w:cstheme="minorHAnsi"/>
          <w:sz w:val="22"/>
          <w:szCs w:val="22"/>
          <w:lang w:val="en-GB" w:eastAsia="en-US"/>
        </w:rPr>
        <w:t>Employee;</w:t>
      </w:r>
      <w:proofErr w:type="gramEnd"/>
    </w:p>
    <w:p w14:paraId="4CF1E063" w14:textId="577FE2AA" w:rsidR="00D6592E" w:rsidRDefault="00114569" w:rsidP="00114569">
      <w:pPr>
        <w:pStyle w:val="BodyText"/>
        <w:ind w:left="720" w:hanging="720"/>
        <w:jc w:val="both"/>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d)</w:t>
      </w:r>
      <w:r w:rsidRPr="00114569">
        <w:rPr>
          <w:rFonts w:asciiTheme="minorHAnsi" w:eastAsiaTheme="minorHAnsi" w:hAnsiTheme="minorHAnsi" w:cstheme="minorHAnsi"/>
          <w:sz w:val="22"/>
          <w:szCs w:val="22"/>
          <w:lang w:val="en-GB" w:eastAsia="en-US"/>
        </w:rPr>
        <w:tab/>
        <w:t xml:space="preserve">where </w:t>
      </w:r>
      <w:r w:rsidR="008408EF">
        <w:rPr>
          <w:rFonts w:asciiTheme="minorHAnsi" w:eastAsiaTheme="minorHAnsi" w:hAnsiTheme="minorHAnsi" w:cstheme="minorHAnsi"/>
          <w:sz w:val="22"/>
          <w:szCs w:val="22"/>
          <w:highlight w:val="yellow"/>
          <w:lang w:val="en-GB" w:eastAsia="en-US"/>
        </w:rPr>
        <w:t>O</w:t>
      </w:r>
      <w:r w:rsidRPr="00114569">
        <w:rPr>
          <w:rFonts w:asciiTheme="minorHAnsi" w:eastAsiaTheme="minorHAnsi" w:hAnsiTheme="minorHAnsi" w:cstheme="minorHAnsi"/>
          <w:sz w:val="22"/>
          <w:szCs w:val="22"/>
          <w:highlight w:val="yellow"/>
          <w:lang w:val="en-GB" w:eastAsia="en-US"/>
        </w:rPr>
        <w:t>rganisation name</w:t>
      </w:r>
      <w:r w:rsidRPr="00114569">
        <w:rPr>
          <w:rFonts w:asciiTheme="minorHAnsi" w:eastAsiaTheme="minorHAnsi" w:hAnsiTheme="minorHAnsi" w:cstheme="minorHAnsi"/>
          <w:sz w:val="22"/>
          <w:szCs w:val="22"/>
          <w:lang w:val="en-GB" w:eastAsia="en-US"/>
        </w:rPr>
        <w:t xml:space="preserve"> is a small business employer as defined by the Fair Work Act 2009 (</w:t>
      </w:r>
      <w:proofErr w:type="spellStart"/>
      <w:r w:rsidRPr="00114569">
        <w:rPr>
          <w:rFonts w:asciiTheme="minorHAnsi" w:eastAsiaTheme="minorHAnsi" w:hAnsiTheme="minorHAnsi" w:cstheme="minorHAnsi"/>
          <w:sz w:val="22"/>
          <w:szCs w:val="22"/>
          <w:lang w:val="en-GB" w:eastAsia="en-US"/>
        </w:rPr>
        <w:t>Cth</w:t>
      </w:r>
      <w:proofErr w:type="spellEnd"/>
      <w:r w:rsidRPr="00114569">
        <w:rPr>
          <w:rFonts w:asciiTheme="minorHAnsi" w:eastAsiaTheme="minorHAnsi" w:hAnsiTheme="minorHAnsi" w:cstheme="minorHAnsi"/>
          <w:sz w:val="22"/>
          <w:szCs w:val="22"/>
          <w:lang w:val="en-GB" w:eastAsia="en-US"/>
        </w:rPr>
        <w:t xml:space="preserve">) (‘Act’) immediately prior to the termination of </w:t>
      </w:r>
      <w:r>
        <w:rPr>
          <w:rFonts w:asciiTheme="minorHAnsi" w:eastAsiaTheme="minorHAnsi" w:hAnsiTheme="minorHAnsi" w:cstheme="minorHAnsi"/>
          <w:sz w:val="22"/>
          <w:szCs w:val="22"/>
          <w:lang w:val="en-GB" w:eastAsia="en-US"/>
        </w:rPr>
        <w:t>the employee being made redundant.</w:t>
      </w:r>
    </w:p>
    <w:p w14:paraId="5129D1FA" w14:textId="7479E571" w:rsidR="00114569" w:rsidRDefault="00114569" w:rsidP="00D6592E">
      <w:pPr>
        <w:pStyle w:val="Heading3"/>
        <w:rPr>
          <w:rFonts w:eastAsiaTheme="minorHAnsi"/>
          <w:sz w:val="36"/>
          <w:szCs w:val="36"/>
          <w:lang w:eastAsia="en-US"/>
        </w:rPr>
      </w:pPr>
    </w:p>
    <w:p w14:paraId="03640356" w14:textId="77777777" w:rsidR="00114569" w:rsidRPr="00114569" w:rsidRDefault="00114569" w:rsidP="00114569">
      <w:pPr>
        <w:pStyle w:val="BodyText"/>
        <w:rPr>
          <w:rFonts w:eastAsiaTheme="minorHAnsi"/>
          <w:lang w:eastAsia="en-US"/>
        </w:rPr>
      </w:pPr>
    </w:p>
    <w:p w14:paraId="4C081326" w14:textId="734FB3A8" w:rsidR="00D6592E" w:rsidRDefault="00114569" w:rsidP="00D6592E">
      <w:pPr>
        <w:pStyle w:val="Heading3"/>
        <w:rPr>
          <w:rFonts w:eastAsiaTheme="minorHAnsi"/>
          <w:sz w:val="36"/>
          <w:szCs w:val="36"/>
          <w:lang w:eastAsia="en-US"/>
        </w:rPr>
      </w:pPr>
      <w:r>
        <w:rPr>
          <w:rFonts w:eastAsiaTheme="minorHAnsi"/>
          <w:sz w:val="36"/>
          <w:szCs w:val="36"/>
          <w:lang w:eastAsia="en-US"/>
        </w:rPr>
        <w:lastRenderedPageBreak/>
        <w:t>Definitions</w:t>
      </w:r>
    </w:p>
    <w:p w14:paraId="3C0296E7" w14:textId="4D47575B" w:rsidR="00114569" w:rsidRPr="00114569" w:rsidRDefault="00114569" w:rsidP="00114569">
      <w:pPr>
        <w:pStyle w:val="BodyText"/>
        <w:rPr>
          <w:rFonts w:asciiTheme="minorHAnsi" w:eastAsiaTheme="minorHAnsi" w:hAnsiTheme="minorHAnsi" w:cstheme="minorHAnsi"/>
          <w:sz w:val="22"/>
          <w:szCs w:val="22"/>
          <w:lang w:eastAsia="en-US"/>
        </w:rPr>
      </w:pPr>
      <w:r w:rsidRPr="0018171E">
        <w:rPr>
          <w:rStyle w:val="Heading3Char"/>
          <w:rFonts w:asciiTheme="minorHAnsi" w:hAnsiTheme="minorHAnsi" w:cstheme="minorHAnsi"/>
          <w:sz w:val="22"/>
          <w:szCs w:val="22"/>
          <w:lang w:eastAsia="en-US"/>
        </w:rPr>
        <w:t>Redundancy</w:t>
      </w:r>
      <w:r w:rsidRPr="0018171E">
        <w:rPr>
          <w:rFonts w:asciiTheme="minorHAnsi" w:eastAsiaTheme="minorHAnsi" w:hAnsiTheme="minorHAnsi" w:cstheme="minorHAnsi"/>
          <w:sz w:val="22"/>
          <w:szCs w:val="22"/>
          <w:lang w:eastAsia="en-US"/>
        </w:rPr>
        <w:t xml:space="preserve"> refers</w:t>
      </w:r>
      <w:r w:rsidRPr="00114569">
        <w:rPr>
          <w:rFonts w:asciiTheme="minorHAnsi" w:eastAsiaTheme="minorHAnsi" w:hAnsiTheme="minorHAnsi" w:cstheme="minorHAnsi"/>
          <w:sz w:val="22"/>
          <w:szCs w:val="22"/>
          <w:lang w:eastAsia="en-US"/>
        </w:rPr>
        <w:t xml:space="preserve"> to a situation where an Employee is identified as surplus to the needs of </w:t>
      </w:r>
      <w:r w:rsidRPr="00114569">
        <w:rPr>
          <w:rFonts w:asciiTheme="minorHAnsi" w:eastAsiaTheme="minorHAnsi" w:hAnsiTheme="minorHAnsi" w:cstheme="minorHAnsi"/>
          <w:sz w:val="22"/>
          <w:szCs w:val="22"/>
          <w:highlight w:val="yellow"/>
          <w:lang w:eastAsia="en-US"/>
        </w:rPr>
        <w:t>Organisation name</w:t>
      </w:r>
      <w:r w:rsidRPr="00114569">
        <w:rPr>
          <w:rFonts w:asciiTheme="minorHAnsi" w:eastAsiaTheme="minorHAnsi" w:hAnsiTheme="minorHAnsi" w:cstheme="minorHAnsi"/>
          <w:sz w:val="22"/>
          <w:szCs w:val="22"/>
          <w:lang w:eastAsia="en-US"/>
        </w:rPr>
        <w:t xml:space="preserve"> </w:t>
      </w:r>
      <w:proofErr w:type="gramStart"/>
      <w:r w:rsidRPr="00114569">
        <w:rPr>
          <w:rFonts w:asciiTheme="minorHAnsi" w:eastAsiaTheme="minorHAnsi" w:hAnsiTheme="minorHAnsi" w:cstheme="minorHAnsi"/>
          <w:sz w:val="22"/>
          <w:szCs w:val="22"/>
          <w:lang w:eastAsia="en-US"/>
        </w:rPr>
        <w:t>as a result of</w:t>
      </w:r>
      <w:proofErr w:type="gramEnd"/>
      <w:r w:rsidRPr="00114569">
        <w:rPr>
          <w:rFonts w:asciiTheme="minorHAnsi" w:eastAsiaTheme="minorHAnsi" w:hAnsiTheme="minorHAnsi" w:cstheme="minorHAnsi"/>
          <w:sz w:val="22"/>
          <w:szCs w:val="22"/>
          <w:lang w:eastAsia="en-US"/>
        </w:rPr>
        <w:t xml:space="preserve"> the Employee’s duties no longer being required due to economic, technological or structural changes, such as (but not limited to):</w:t>
      </w:r>
    </w:p>
    <w:p w14:paraId="4A63EF2A" w14:textId="77777777"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w:t>
      </w:r>
      <w:proofErr w:type="spellStart"/>
      <w:r w:rsidRPr="00114569">
        <w:rPr>
          <w:rFonts w:asciiTheme="minorHAnsi" w:eastAsiaTheme="minorHAnsi" w:hAnsiTheme="minorHAnsi" w:cstheme="minorHAnsi"/>
          <w:sz w:val="22"/>
          <w:szCs w:val="22"/>
          <w:lang w:eastAsia="en-US"/>
        </w:rPr>
        <w:t>i</w:t>
      </w:r>
      <w:proofErr w:type="spellEnd"/>
      <w:r w:rsidRPr="00114569">
        <w:rPr>
          <w:rFonts w:asciiTheme="minorHAnsi" w:eastAsiaTheme="minorHAnsi" w:hAnsiTheme="minorHAnsi" w:cstheme="minorHAnsi"/>
          <w:sz w:val="22"/>
          <w:szCs w:val="22"/>
          <w:lang w:eastAsia="en-US"/>
        </w:rPr>
        <w:t>)</w:t>
      </w:r>
      <w:r w:rsidRPr="00114569">
        <w:rPr>
          <w:rFonts w:asciiTheme="minorHAnsi" w:eastAsiaTheme="minorHAnsi" w:hAnsiTheme="minorHAnsi" w:cstheme="minorHAnsi"/>
          <w:sz w:val="22"/>
          <w:szCs w:val="22"/>
          <w:lang w:eastAsia="en-US"/>
        </w:rPr>
        <w:tab/>
        <w:t xml:space="preserve">the financial demands within a business </w:t>
      </w:r>
      <w:proofErr w:type="gramStart"/>
      <w:r w:rsidRPr="00114569">
        <w:rPr>
          <w:rFonts w:asciiTheme="minorHAnsi" w:eastAsiaTheme="minorHAnsi" w:hAnsiTheme="minorHAnsi" w:cstheme="minorHAnsi"/>
          <w:sz w:val="22"/>
          <w:szCs w:val="22"/>
          <w:lang w:eastAsia="en-US"/>
        </w:rPr>
        <w:t>unit;</w:t>
      </w:r>
      <w:proofErr w:type="gramEnd"/>
    </w:p>
    <w:p w14:paraId="76DAF087" w14:textId="77777777"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(ii)</w:t>
      </w:r>
      <w:r w:rsidRPr="00114569">
        <w:rPr>
          <w:rFonts w:asciiTheme="minorHAnsi" w:eastAsiaTheme="minorHAnsi" w:hAnsiTheme="minorHAnsi" w:cstheme="minorHAnsi"/>
          <w:sz w:val="22"/>
          <w:szCs w:val="22"/>
          <w:lang w:eastAsia="en-US"/>
        </w:rPr>
        <w:tab/>
        <w:t xml:space="preserve">a decrease in consumer/customer </w:t>
      </w:r>
      <w:proofErr w:type="gramStart"/>
      <w:r w:rsidRPr="00114569">
        <w:rPr>
          <w:rFonts w:asciiTheme="minorHAnsi" w:eastAsiaTheme="minorHAnsi" w:hAnsiTheme="minorHAnsi" w:cstheme="minorHAnsi"/>
          <w:sz w:val="22"/>
          <w:szCs w:val="22"/>
          <w:lang w:eastAsia="en-US"/>
        </w:rPr>
        <w:t>demand;</w:t>
      </w:r>
      <w:proofErr w:type="gramEnd"/>
    </w:p>
    <w:p w14:paraId="484A55D1" w14:textId="71C1CEA6"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 xml:space="preserve">(iii) </w:t>
      </w:r>
      <w:r>
        <w:rPr>
          <w:rFonts w:asciiTheme="minorHAnsi" w:eastAsiaTheme="minorHAnsi" w:hAnsiTheme="minorHAnsi" w:cstheme="minorHAnsi"/>
          <w:sz w:val="22"/>
          <w:szCs w:val="22"/>
          <w:lang w:eastAsia="en-US"/>
        </w:rPr>
        <w:tab/>
      </w:r>
      <w:r w:rsidRPr="00114569">
        <w:rPr>
          <w:rFonts w:asciiTheme="minorHAnsi" w:eastAsiaTheme="minorHAnsi" w:hAnsiTheme="minorHAnsi" w:cstheme="minorHAnsi"/>
          <w:sz w:val="22"/>
          <w:szCs w:val="22"/>
          <w:lang w:eastAsia="en-US"/>
        </w:rPr>
        <w:t>a decision to close or transfer a part of the business to another entity; and</w:t>
      </w:r>
    </w:p>
    <w:p w14:paraId="15C9D77C" w14:textId="194F6ACD"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 xml:space="preserve">(iv) </w:t>
      </w:r>
      <w:r>
        <w:rPr>
          <w:rFonts w:asciiTheme="minorHAnsi" w:eastAsiaTheme="minorHAnsi" w:hAnsiTheme="minorHAnsi" w:cstheme="minorHAnsi"/>
          <w:sz w:val="22"/>
          <w:szCs w:val="22"/>
          <w:lang w:eastAsia="en-US"/>
        </w:rPr>
        <w:tab/>
      </w:r>
      <w:r w:rsidRPr="00114569">
        <w:rPr>
          <w:rFonts w:asciiTheme="minorHAnsi" w:eastAsiaTheme="minorHAnsi" w:hAnsiTheme="minorHAnsi" w:cstheme="minorHAnsi"/>
          <w:sz w:val="22"/>
          <w:szCs w:val="22"/>
          <w:lang w:eastAsia="en-US"/>
        </w:rPr>
        <w:t>changes in work methods arising from the introduction of technological development.</w:t>
      </w:r>
    </w:p>
    <w:p w14:paraId="2137EACE" w14:textId="16C0F691" w:rsidR="00114569" w:rsidRPr="00114569" w:rsidRDefault="00114569" w:rsidP="00114569">
      <w:pPr>
        <w:pStyle w:val="BodyText"/>
        <w:rPr>
          <w:rFonts w:asciiTheme="minorHAnsi" w:eastAsiaTheme="minorHAnsi" w:hAnsiTheme="minorHAnsi" w:cstheme="minorHAnsi"/>
          <w:sz w:val="22"/>
          <w:szCs w:val="22"/>
          <w:lang w:eastAsia="en-US"/>
        </w:rPr>
      </w:pPr>
      <w:r w:rsidRPr="0018171E">
        <w:rPr>
          <w:rStyle w:val="Heading3Char"/>
          <w:rFonts w:asciiTheme="minorHAnsi" w:hAnsiTheme="minorHAnsi" w:cstheme="minorHAnsi"/>
          <w:sz w:val="22"/>
          <w:szCs w:val="22"/>
          <w:lang w:eastAsia="en-US"/>
        </w:rPr>
        <w:t xml:space="preserve">Employee </w:t>
      </w:r>
      <w:r w:rsidRPr="0018171E">
        <w:rPr>
          <w:rFonts w:asciiTheme="minorHAnsi" w:eastAsiaTheme="minorHAnsi" w:hAnsiTheme="minorHAnsi" w:cstheme="minorHAnsi"/>
          <w:sz w:val="22"/>
          <w:szCs w:val="22"/>
          <w:lang w:eastAsia="en-US"/>
        </w:rPr>
        <w:t>refers</w:t>
      </w:r>
      <w:r w:rsidRPr="00114569">
        <w:rPr>
          <w:rFonts w:asciiTheme="minorHAnsi" w:eastAsiaTheme="minorHAnsi" w:hAnsiTheme="minorHAnsi" w:cstheme="minorHAnsi"/>
          <w:sz w:val="22"/>
          <w:szCs w:val="22"/>
          <w:lang w:eastAsia="en-US"/>
        </w:rPr>
        <w:t xml:space="preserve"> to permanent full-time and part-time employees with more than 12 months’ continuous service. It does not include casual employees; probationary employees; qualifying employees; apprentices; trainees; fixed-term employees; seasonal employees; employees engaged for a specific </w:t>
      </w:r>
      <w:proofErr w:type="gramStart"/>
      <w:r w:rsidRPr="00114569">
        <w:rPr>
          <w:rFonts w:asciiTheme="minorHAnsi" w:eastAsiaTheme="minorHAnsi" w:hAnsiTheme="minorHAnsi" w:cstheme="minorHAnsi"/>
          <w:sz w:val="22"/>
          <w:szCs w:val="22"/>
          <w:lang w:eastAsia="en-US"/>
        </w:rPr>
        <w:t>period of time</w:t>
      </w:r>
      <w:proofErr w:type="gramEnd"/>
      <w:r w:rsidRPr="00114569">
        <w:rPr>
          <w:rFonts w:asciiTheme="minorHAnsi" w:eastAsiaTheme="minorHAnsi" w:hAnsiTheme="minorHAnsi" w:cstheme="minorHAnsi"/>
          <w:sz w:val="22"/>
          <w:szCs w:val="22"/>
          <w:lang w:eastAsia="en-US"/>
        </w:rPr>
        <w:t xml:space="preserve"> or for a specific task; contractors; and/or consultants.</w:t>
      </w:r>
    </w:p>
    <w:p w14:paraId="53AC1E34" w14:textId="115FEFBD" w:rsidR="00114569" w:rsidRPr="00114569" w:rsidRDefault="00114569" w:rsidP="00114569">
      <w:pPr>
        <w:pStyle w:val="BodyText"/>
        <w:rPr>
          <w:rFonts w:asciiTheme="minorHAnsi" w:eastAsiaTheme="minorHAnsi" w:hAnsiTheme="minorHAnsi" w:cstheme="minorHAnsi"/>
          <w:sz w:val="22"/>
          <w:szCs w:val="22"/>
          <w:lang w:eastAsia="en-US"/>
        </w:rPr>
      </w:pPr>
      <w:r w:rsidRPr="0018171E">
        <w:rPr>
          <w:rStyle w:val="Heading3Char"/>
          <w:rFonts w:asciiTheme="minorHAnsi" w:hAnsiTheme="minorHAnsi" w:cstheme="minorHAnsi"/>
          <w:sz w:val="22"/>
          <w:szCs w:val="22"/>
          <w:lang w:eastAsia="en-US"/>
        </w:rPr>
        <w:t xml:space="preserve">Weeks’ pay </w:t>
      </w:r>
      <w:r w:rsidRPr="0018171E">
        <w:rPr>
          <w:rFonts w:asciiTheme="minorHAnsi" w:eastAsiaTheme="minorHAnsi" w:hAnsiTheme="minorHAnsi" w:cstheme="minorHAnsi"/>
          <w:sz w:val="22"/>
          <w:szCs w:val="22"/>
          <w:lang w:eastAsia="en-US"/>
        </w:rPr>
        <w:t>means</w:t>
      </w:r>
      <w:r w:rsidRPr="00114569">
        <w:rPr>
          <w:rFonts w:asciiTheme="minorHAnsi" w:eastAsiaTheme="minorHAnsi" w:hAnsiTheme="minorHAnsi" w:cstheme="minorHAnsi"/>
          <w:sz w:val="22"/>
          <w:szCs w:val="22"/>
          <w:lang w:eastAsia="en-US"/>
        </w:rPr>
        <w:t xml:space="preserve"> the ordinary time rate of pay for the Employee and shall exclude overtime, penalty rates, disability allowances, shift allowances, special rates, fares and travelling time allowances, bonuses, superannuation, car allowances and any other ancillary payments as well as the value of any company vehicle provided to an Employee.</w:t>
      </w:r>
    </w:p>
    <w:p w14:paraId="75557629" w14:textId="486A786A" w:rsidR="007F7D64" w:rsidRPr="007F7D64" w:rsidRDefault="007F7D64" w:rsidP="007F7D64">
      <w:pPr>
        <w:pStyle w:val="Heading3"/>
        <w:rPr>
          <w:sz w:val="36"/>
          <w:szCs w:val="36"/>
        </w:rPr>
      </w:pPr>
      <w:r w:rsidRPr="007F7D64">
        <w:rPr>
          <w:sz w:val="36"/>
          <w:szCs w:val="36"/>
        </w:rPr>
        <w:t xml:space="preserve">Procedure </w:t>
      </w:r>
    </w:p>
    <w:p w14:paraId="12235F89" w14:textId="644830E1"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 xml:space="preserve">Where it is necessary to select Employees for redundancy, </w:t>
      </w:r>
      <w:r w:rsidR="008408EF">
        <w:rPr>
          <w:rFonts w:asciiTheme="minorHAnsi" w:eastAsiaTheme="minorHAnsi" w:hAnsiTheme="minorHAnsi" w:cstheme="minorHAnsi"/>
          <w:sz w:val="22"/>
          <w:szCs w:val="22"/>
          <w:highlight w:val="yellow"/>
          <w:lang w:eastAsia="en-US"/>
        </w:rPr>
        <w:t>O</w:t>
      </w:r>
      <w:r w:rsidRPr="00114569">
        <w:rPr>
          <w:rFonts w:asciiTheme="minorHAnsi" w:eastAsiaTheme="minorHAnsi" w:hAnsiTheme="minorHAnsi" w:cstheme="minorHAnsi"/>
          <w:sz w:val="22"/>
          <w:szCs w:val="22"/>
          <w:highlight w:val="yellow"/>
          <w:lang w:eastAsia="en-US"/>
        </w:rPr>
        <w:t>rganisation name</w:t>
      </w:r>
      <w:r w:rsidRPr="00114569">
        <w:rPr>
          <w:rFonts w:asciiTheme="minorHAnsi" w:eastAsiaTheme="minorHAnsi" w:hAnsiTheme="minorHAnsi" w:cstheme="minorHAnsi"/>
          <w:sz w:val="22"/>
          <w:szCs w:val="22"/>
          <w:lang w:eastAsia="en-US"/>
        </w:rPr>
        <w:t xml:space="preserve"> may determine an appropriate selection criterion and apply it to relevant Employees.</w:t>
      </w:r>
    </w:p>
    <w:p w14:paraId="7214D851" w14:textId="1DBB8F6E"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highlight w:val="yellow"/>
          <w:lang w:eastAsia="en-US"/>
        </w:rPr>
        <w:t>Organisation name</w:t>
      </w:r>
      <w:r>
        <w:rPr>
          <w:rFonts w:asciiTheme="minorHAnsi" w:eastAsiaTheme="minorHAnsi" w:hAnsiTheme="minorHAnsi" w:cstheme="minorHAnsi"/>
          <w:sz w:val="22"/>
          <w:szCs w:val="22"/>
          <w:lang w:eastAsia="en-US"/>
        </w:rPr>
        <w:t xml:space="preserve"> </w:t>
      </w:r>
      <w:r w:rsidRPr="00114569">
        <w:rPr>
          <w:rFonts w:asciiTheme="minorHAnsi" w:eastAsiaTheme="minorHAnsi" w:hAnsiTheme="minorHAnsi" w:cstheme="minorHAnsi"/>
          <w:sz w:val="22"/>
          <w:szCs w:val="22"/>
          <w:lang w:eastAsia="en-US"/>
        </w:rPr>
        <w:t>will endeavour to:</w:t>
      </w:r>
    </w:p>
    <w:p w14:paraId="24BB9B8E" w14:textId="77777777" w:rsidR="00114569" w:rsidRPr="00114569" w:rsidRDefault="00114569" w:rsidP="00114569">
      <w:pPr>
        <w:pStyle w:val="BodyText"/>
        <w:ind w:left="720" w:hanging="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a)</w:t>
      </w:r>
      <w:r w:rsidRPr="00114569">
        <w:rPr>
          <w:rFonts w:asciiTheme="minorHAnsi" w:eastAsiaTheme="minorHAnsi" w:hAnsiTheme="minorHAnsi" w:cstheme="minorHAnsi"/>
          <w:sz w:val="22"/>
          <w:szCs w:val="22"/>
          <w:lang w:eastAsia="en-US"/>
        </w:rPr>
        <w:tab/>
        <w:t>consult with the Employee(s) concerned to establish whether any proposed redundancy can be avoided or reduced, achieved fully or partly by voluntary means, and how to mitigate the impact on any affected Employee(s</w:t>
      </w:r>
      <w:proofErr w:type="gramStart"/>
      <w:r w:rsidRPr="00114569">
        <w:rPr>
          <w:rFonts w:asciiTheme="minorHAnsi" w:eastAsiaTheme="minorHAnsi" w:hAnsiTheme="minorHAnsi" w:cstheme="minorHAnsi"/>
          <w:sz w:val="22"/>
          <w:szCs w:val="22"/>
          <w:lang w:eastAsia="en-US"/>
        </w:rPr>
        <w:t>);</w:t>
      </w:r>
      <w:proofErr w:type="gramEnd"/>
    </w:p>
    <w:p w14:paraId="4C4B6170" w14:textId="77777777" w:rsidR="00114569" w:rsidRPr="00114569" w:rsidRDefault="00114569" w:rsidP="00A37F10">
      <w:pPr>
        <w:pStyle w:val="BodyText"/>
        <w:ind w:left="720" w:hanging="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b)</w:t>
      </w:r>
      <w:r w:rsidRPr="00114569">
        <w:rPr>
          <w:rFonts w:asciiTheme="minorHAnsi" w:eastAsiaTheme="minorHAnsi" w:hAnsiTheme="minorHAnsi" w:cstheme="minorHAnsi"/>
          <w:sz w:val="22"/>
          <w:szCs w:val="22"/>
          <w:lang w:eastAsia="en-US"/>
        </w:rPr>
        <w:tab/>
        <w:t>consider, prior to terminating an Employee due to redundancy, whether it would be reasonable in all the circumstances for the Employee to be redeployed within:</w:t>
      </w:r>
    </w:p>
    <w:p w14:paraId="02E5F124" w14:textId="41AAC325" w:rsidR="00114569" w:rsidRPr="00114569" w:rsidRDefault="00114569" w:rsidP="00A37F10">
      <w:pPr>
        <w:pStyle w:val="BodyText"/>
        <w:ind w:firstLine="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w:t>
      </w:r>
      <w:proofErr w:type="spellStart"/>
      <w:r w:rsidRPr="00114569">
        <w:rPr>
          <w:rFonts w:asciiTheme="minorHAnsi" w:eastAsiaTheme="minorHAnsi" w:hAnsiTheme="minorHAnsi" w:cstheme="minorHAnsi"/>
          <w:sz w:val="22"/>
          <w:szCs w:val="22"/>
          <w:lang w:eastAsia="en-US"/>
        </w:rPr>
        <w:t>i</w:t>
      </w:r>
      <w:proofErr w:type="spellEnd"/>
      <w:r w:rsidRPr="00114569">
        <w:rPr>
          <w:rFonts w:asciiTheme="minorHAnsi" w:eastAsiaTheme="minorHAnsi" w:hAnsiTheme="minorHAnsi" w:cstheme="minorHAnsi"/>
          <w:sz w:val="22"/>
          <w:szCs w:val="22"/>
          <w:lang w:eastAsia="en-US"/>
        </w:rPr>
        <w:t>)</w:t>
      </w:r>
      <w:r w:rsidRPr="00114569">
        <w:rPr>
          <w:rFonts w:asciiTheme="minorHAnsi" w:eastAsiaTheme="minorHAnsi" w:hAnsiTheme="minorHAnsi" w:cstheme="minorHAnsi"/>
          <w:sz w:val="22"/>
          <w:szCs w:val="22"/>
          <w:lang w:eastAsia="en-US"/>
        </w:rPr>
        <w:tab/>
      </w:r>
      <w:r w:rsidR="008408EF">
        <w:rPr>
          <w:rFonts w:asciiTheme="minorHAnsi" w:eastAsiaTheme="minorHAnsi" w:hAnsiTheme="minorHAnsi" w:cstheme="minorHAnsi"/>
          <w:sz w:val="22"/>
          <w:szCs w:val="22"/>
          <w:highlight w:val="yellow"/>
          <w:lang w:eastAsia="en-US"/>
        </w:rPr>
        <w:t>O</w:t>
      </w:r>
      <w:r w:rsidRPr="00A37F10">
        <w:rPr>
          <w:rFonts w:asciiTheme="minorHAnsi" w:eastAsiaTheme="minorHAnsi" w:hAnsiTheme="minorHAnsi" w:cstheme="minorHAnsi"/>
          <w:sz w:val="22"/>
          <w:szCs w:val="22"/>
          <w:highlight w:val="yellow"/>
          <w:lang w:eastAsia="en-US"/>
        </w:rPr>
        <w:t>rganisation name</w:t>
      </w:r>
      <w:r w:rsidRPr="00114569">
        <w:rPr>
          <w:rFonts w:asciiTheme="minorHAnsi" w:eastAsiaTheme="minorHAnsi" w:hAnsiTheme="minorHAnsi" w:cstheme="minorHAnsi"/>
          <w:sz w:val="22"/>
          <w:szCs w:val="22"/>
          <w:lang w:eastAsia="en-US"/>
        </w:rPr>
        <w:t xml:space="preserve"> enterprise; or</w:t>
      </w:r>
    </w:p>
    <w:p w14:paraId="4A609153" w14:textId="4C1BAD51" w:rsidR="00114569" w:rsidRPr="00114569" w:rsidRDefault="00114569" w:rsidP="00A37F10">
      <w:pPr>
        <w:pStyle w:val="BodyText"/>
        <w:ind w:firstLine="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(ii)</w:t>
      </w:r>
      <w:r w:rsidRPr="00114569">
        <w:rPr>
          <w:rFonts w:asciiTheme="minorHAnsi" w:eastAsiaTheme="minorHAnsi" w:hAnsiTheme="minorHAnsi" w:cstheme="minorHAnsi"/>
          <w:sz w:val="22"/>
          <w:szCs w:val="22"/>
          <w:lang w:eastAsia="en-US"/>
        </w:rPr>
        <w:tab/>
        <w:t xml:space="preserve">the enterprise of an associated entity of </w:t>
      </w:r>
      <w:r w:rsidR="008408EF">
        <w:rPr>
          <w:rFonts w:asciiTheme="minorHAnsi" w:eastAsiaTheme="minorHAnsi" w:hAnsiTheme="minorHAnsi" w:cstheme="minorHAnsi"/>
          <w:sz w:val="22"/>
          <w:szCs w:val="22"/>
          <w:highlight w:val="yellow"/>
          <w:lang w:eastAsia="en-US"/>
        </w:rPr>
        <w:t>O</w:t>
      </w:r>
      <w:r w:rsidRPr="00A37F10">
        <w:rPr>
          <w:rFonts w:asciiTheme="minorHAnsi" w:eastAsiaTheme="minorHAnsi" w:hAnsiTheme="minorHAnsi" w:cstheme="minorHAnsi"/>
          <w:sz w:val="22"/>
          <w:szCs w:val="22"/>
          <w:highlight w:val="yellow"/>
          <w:lang w:eastAsia="en-US"/>
        </w:rPr>
        <w:t>rganisation name</w:t>
      </w:r>
    </w:p>
    <w:p w14:paraId="75B3ED2D" w14:textId="77777777" w:rsidR="00114569" w:rsidRPr="00114569" w:rsidRDefault="00114569" w:rsidP="00114569">
      <w:pPr>
        <w:pStyle w:val="BodyText"/>
        <w:rPr>
          <w:rFonts w:asciiTheme="minorHAnsi" w:eastAsiaTheme="minorHAnsi" w:hAnsiTheme="minorHAnsi" w:cstheme="minorHAnsi"/>
          <w:sz w:val="22"/>
          <w:szCs w:val="22"/>
          <w:lang w:eastAsia="en-US"/>
        </w:rPr>
      </w:pPr>
    </w:p>
    <w:p w14:paraId="129EC7E5" w14:textId="6BFBE292"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 xml:space="preserve">Where 15 or more Employees are to be made redundant due to reasons of an economic, technological, </w:t>
      </w:r>
      <w:proofErr w:type="gramStart"/>
      <w:r w:rsidRPr="00114569">
        <w:rPr>
          <w:rFonts w:asciiTheme="minorHAnsi" w:eastAsiaTheme="minorHAnsi" w:hAnsiTheme="minorHAnsi" w:cstheme="minorHAnsi"/>
          <w:sz w:val="22"/>
          <w:szCs w:val="22"/>
          <w:lang w:eastAsia="en-US"/>
        </w:rPr>
        <w:t>structural</w:t>
      </w:r>
      <w:proofErr w:type="gramEnd"/>
      <w:r w:rsidRPr="00114569">
        <w:rPr>
          <w:rFonts w:asciiTheme="minorHAnsi" w:eastAsiaTheme="minorHAnsi" w:hAnsiTheme="minorHAnsi" w:cstheme="minorHAnsi"/>
          <w:sz w:val="22"/>
          <w:szCs w:val="22"/>
          <w:lang w:eastAsia="en-US"/>
        </w:rPr>
        <w:t xml:space="preserve"> or similar nature, and any are members of a trade union, </w:t>
      </w:r>
      <w:r w:rsidR="008408EF">
        <w:rPr>
          <w:rFonts w:asciiTheme="minorHAnsi" w:eastAsiaTheme="minorHAnsi" w:hAnsiTheme="minorHAnsi" w:cstheme="minorHAnsi"/>
          <w:sz w:val="22"/>
          <w:szCs w:val="22"/>
          <w:highlight w:val="yellow"/>
          <w:lang w:eastAsia="en-US"/>
        </w:rPr>
        <w:t>O</w:t>
      </w:r>
      <w:r w:rsidRPr="00A37F10">
        <w:rPr>
          <w:rFonts w:asciiTheme="minorHAnsi" w:eastAsiaTheme="minorHAnsi" w:hAnsiTheme="minorHAnsi" w:cstheme="minorHAnsi"/>
          <w:sz w:val="22"/>
          <w:szCs w:val="22"/>
          <w:highlight w:val="yellow"/>
          <w:lang w:eastAsia="en-US"/>
        </w:rPr>
        <w:t>rganisation name</w:t>
      </w:r>
      <w:r w:rsidRPr="00114569">
        <w:rPr>
          <w:rFonts w:asciiTheme="minorHAnsi" w:eastAsiaTheme="minorHAnsi" w:hAnsiTheme="minorHAnsi" w:cstheme="minorHAnsi"/>
          <w:sz w:val="22"/>
          <w:szCs w:val="22"/>
          <w:lang w:eastAsia="en-US"/>
        </w:rPr>
        <w:t xml:space="preserve"> </w:t>
      </w:r>
      <w:r w:rsidR="00A37F10">
        <w:rPr>
          <w:rFonts w:asciiTheme="minorHAnsi" w:eastAsiaTheme="minorHAnsi" w:hAnsiTheme="minorHAnsi" w:cstheme="minorHAnsi"/>
          <w:sz w:val="22"/>
          <w:szCs w:val="22"/>
          <w:lang w:eastAsia="en-US"/>
        </w:rPr>
        <w:t>will undertake the following:</w:t>
      </w:r>
    </w:p>
    <w:p w14:paraId="70674912" w14:textId="77777777"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a)</w:t>
      </w:r>
      <w:r w:rsidRPr="00114569">
        <w:rPr>
          <w:rFonts w:asciiTheme="minorHAnsi" w:eastAsiaTheme="minorHAnsi" w:hAnsiTheme="minorHAnsi" w:cstheme="minorHAnsi"/>
          <w:sz w:val="22"/>
          <w:szCs w:val="22"/>
          <w:lang w:eastAsia="en-US"/>
        </w:rPr>
        <w:tab/>
        <w:t>inform each trade union of which any of the Employees is a member about:</w:t>
      </w:r>
    </w:p>
    <w:p w14:paraId="456B302C" w14:textId="1D018F4E" w:rsidR="00114569" w:rsidRPr="00114569" w:rsidRDefault="00114569" w:rsidP="00A37F10">
      <w:pPr>
        <w:pStyle w:val="BodyText"/>
        <w:ind w:firstLine="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w:t>
      </w:r>
      <w:proofErr w:type="spellStart"/>
      <w:r w:rsidRPr="00114569">
        <w:rPr>
          <w:rFonts w:asciiTheme="minorHAnsi" w:eastAsiaTheme="minorHAnsi" w:hAnsiTheme="minorHAnsi" w:cstheme="minorHAnsi"/>
          <w:sz w:val="22"/>
          <w:szCs w:val="22"/>
          <w:lang w:eastAsia="en-US"/>
        </w:rPr>
        <w:t>i</w:t>
      </w:r>
      <w:proofErr w:type="spellEnd"/>
      <w:r w:rsidRPr="00114569">
        <w:rPr>
          <w:rFonts w:asciiTheme="minorHAnsi" w:eastAsiaTheme="minorHAnsi" w:hAnsiTheme="minorHAnsi" w:cstheme="minorHAnsi"/>
          <w:sz w:val="22"/>
          <w:szCs w:val="22"/>
          <w:lang w:eastAsia="en-US"/>
        </w:rPr>
        <w:t>)</w:t>
      </w:r>
      <w:r w:rsidRPr="00114569">
        <w:rPr>
          <w:rFonts w:asciiTheme="minorHAnsi" w:eastAsiaTheme="minorHAnsi" w:hAnsiTheme="minorHAnsi" w:cstheme="minorHAnsi"/>
          <w:sz w:val="22"/>
          <w:szCs w:val="22"/>
          <w:lang w:eastAsia="en-US"/>
        </w:rPr>
        <w:tab/>
        <w:t xml:space="preserve">the terminations and the reasons for </w:t>
      </w:r>
      <w:proofErr w:type="gramStart"/>
      <w:r w:rsidRPr="00114569">
        <w:rPr>
          <w:rFonts w:asciiTheme="minorHAnsi" w:eastAsiaTheme="minorHAnsi" w:hAnsiTheme="minorHAnsi" w:cstheme="minorHAnsi"/>
          <w:sz w:val="22"/>
          <w:szCs w:val="22"/>
          <w:lang w:eastAsia="en-US"/>
        </w:rPr>
        <w:t>them;</w:t>
      </w:r>
      <w:proofErr w:type="gramEnd"/>
      <w:r w:rsidRPr="00114569">
        <w:rPr>
          <w:rFonts w:asciiTheme="minorHAnsi" w:eastAsiaTheme="minorHAnsi" w:hAnsiTheme="minorHAnsi" w:cstheme="minorHAnsi"/>
          <w:sz w:val="22"/>
          <w:szCs w:val="22"/>
          <w:lang w:eastAsia="en-US"/>
        </w:rPr>
        <w:t xml:space="preserve"> </w:t>
      </w:r>
    </w:p>
    <w:p w14:paraId="3C23F2E8" w14:textId="5FE35383" w:rsidR="00114569" w:rsidRPr="00114569" w:rsidRDefault="00114569" w:rsidP="00A37F10">
      <w:pPr>
        <w:pStyle w:val="BodyText"/>
        <w:ind w:firstLine="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(ii)</w:t>
      </w:r>
      <w:r w:rsidRPr="00114569">
        <w:rPr>
          <w:rFonts w:asciiTheme="minorHAnsi" w:eastAsiaTheme="minorHAnsi" w:hAnsiTheme="minorHAnsi" w:cstheme="minorHAnsi"/>
          <w:sz w:val="22"/>
          <w:szCs w:val="22"/>
          <w:lang w:eastAsia="en-US"/>
        </w:rPr>
        <w:tab/>
        <w:t>the number and categories of Employees likely to be affected; and</w:t>
      </w:r>
    </w:p>
    <w:p w14:paraId="4A2A8FD6" w14:textId="7FB5377A" w:rsidR="00114569" w:rsidRPr="00114569" w:rsidRDefault="00114569" w:rsidP="00A37F10">
      <w:pPr>
        <w:pStyle w:val="BodyText"/>
        <w:ind w:left="1440" w:hanging="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(iii)</w:t>
      </w:r>
      <w:r w:rsidRPr="00114569">
        <w:rPr>
          <w:rFonts w:asciiTheme="minorHAnsi" w:eastAsiaTheme="minorHAnsi" w:hAnsiTheme="minorHAnsi" w:cstheme="minorHAnsi"/>
          <w:sz w:val="22"/>
          <w:szCs w:val="22"/>
          <w:lang w:eastAsia="en-US"/>
        </w:rPr>
        <w:tab/>
        <w:t xml:space="preserve">the time when, or the period over which, </w:t>
      </w:r>
      <w:r w:rsidR="008408EF">
        <w:rPr>
          <w:rFonts w:asciiTheme="minorHAnsi" w:eastAsiaTheme="minorHAnsi" w:hAnsiTheme="minorHAnsi" w:cstheme="minorHAnsi"/>
          <w:sz w:val="22"/>
          <w:szCs w:val="22"/>
          <w:highlight w:val="yellow"/>
          <w:lang w:eastAsia="en-US"/>
        </w:rPr>
        <w:t>O</w:t>
      </w:r>
      <w:r w:rsidRPr="00A37F10">
        <w:rPr>
          <w:rFonts w:asciiTheme="minorHAnsi" w:eastAsiaTheme="minorHAnsi" w:hAnsiTheme="minorHAnsi" w:cstheme="minorHAnsi"/>
          <w:sz w:val="22"/>
          <w:szCs w:val="22"/>
          <w:highlight w:val="yellow"/>
          <w:lang w:eastAsia="en-US"/>
        </w:rPr>
        <w:t>rganisation name</w:t>
      </w:r>
      <w:r w:rsidRPr="00114569">
        <w:rPr>
          <w:rFonts w:asciiTheme="minorHAnsi" w:eastAsiaTheme="minorHAnsi" w:hAnsiTheme="minorHAnsi" w:cstheme="minorHAnsi"/>
          <w:sz w:val="22"/>
          <w:szCs w:val="22"/>
          <w:lang w:eastAsia="en-US"/>
        </w:rPr>
        <w:t xml:space="preserve"> intends to carry out the terminations; and</w:t>
      </w:r>
    </w:p>
    <w:p w14:paraId="5DDCF19D" w14:textId="332DD0B3" w:rsidR="00114569" w:rsidRPr="00114569" w:rsidRDefault="00114569" w:rsidP="00A37F10">
      <w:pPr>
        <w:pStyle w:val="BodyText"/>
        <w:ind w:left="720" w:hanging="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b)</w:t>
      </w:r>
      <w:r w:rsidRPr="00114569">
        <w:rPr>
          <w:rFonts w:asciiTheme="minorHAnsi" w:eastAsiaTheme="minorHAnsi" w:hAnsiTheme="minorHAnsi" w:cstheme="minorHAnsi"/>
          <w:sz w:val="22"/>
          <w:szCs w:val="22"/>
          <w:lang w:eastAsia="en-US"/>
        </w:rPr>
        <w:tab/>
        <w:t xml:space="preserve">give each such trade union of which any of the Employees is a member, an opportunity to consult with </w:t>
      </w:r>
      <w:r w:rsidR="008408EF">
        <w:rPr>
          <w:rFonts w:asciiTheme="minorHAnsi" w:eastAsiaTheme="minorHAnsi" w:hAnsiTheme="minorHAnsi" w:cstheme="minorHAnsi"/>
          <w:sz w:val="22"/>
          <w:szCs w:val="22"/>
          <w:highlight w:val="yellow"/>
          <w:lang w:eastAsia="en-US"/>
        </w:rPr>
        <w:t>O</w:t>
      </w:r>
      <w:r w:rsidRPr="00A37F10">
        <w:rPr>
          <w:rFonts w:asciiTheme="minorHAnsi" w:eastAsiaTheme="minorHAnsi" w:hAnsiTheme="minorHAnsi" w:cstheme="minorHAnsi"/>
          <w:sz w:val="22"/>
          <w:szCs w:val="22"/>
          <w:highlight w:val="yellow"/>
          <w:lang w:eastAsia="en-US"/>
        </w:rPr>
        <w:t>rganisation nam</w:t>
      </w:r>
      <w:r w:rsidR="00A37F10" w:rsidRPr="00A37F10">
        <w:rPr>
          <w:rFonts w:asciiTheme="minorHAnsi" w:eastAsiaTheme="minorHAnsi" w:hAnsiTheme="minorHAnsi" w:cstheme="minorHAnsi"/>
          <w:sz w:val="22"/>
          <w:szCs w:val="22"/>
          <w:highlight w:val="yellow"/>
          <w:lang w:eastAsia="en-US"/>
        </w:rPr>
        <w:t>e</w:t>
      </w:r>
      <w:r w:rsidRPr="00114569">
        <w:rPr>
          <w:rFonts w:asciiTheme="minorHAnsi" w:eastAsiaTheme="minorHAnsi" w:hAnsiTheme="minorHAnsi" w:cstheme="minorHAnsi"/>
          <w:sz w:val="22"/>
          <w:szCs w:val="22"/>
          <w:lang w:eastAsia="en-US"/>
        </w:rPr>
        <w:t xml:space="preserve"> on:</w:t>
      </w:r>
    </w:p>
    <w:p w14:paraId="002DEAF5" w14:textId="77777777" w:rsidR="00114569" w:rsidRPr="00114569" w:rsidRDefault="00114569" w:rsidP="00A37F10">
      <w:pPr>
        <w:pStyle w:val="BodyText"/>
        <w:ind w:firstLine="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w:t>
      </w:r>
      <w:proofErr w:type="spellStart"/>
      <w:r w:rsidRPr="00114569">
        <w:rPr>
          <w:rFonts w:asciiTheme="minorHAnsi" w:eastAsiaTheme="minorHAnsi" w:hAnsiTheme="minorHAnsi" w:cstheme="minorHAnsi"/>
          <w:sz w:val="22"/>
          <w:szCs w:val="22"/>
          <w:lang w:eastAsia="en-US"/>
        </w:rPr>
        <w:t>i</w:t>
      </w:r>
      <w:proofErr w:type="spellEnd"/>
      <w:r w:rsidRPr="00114569">
        <w:rPr>
          <w:rFonts w:asciiTheme="minorHAnsi" w:eastAsiaTheme="minorHAnsi" w:hAnsiTheme="minorHAnsi" w:cstheme="minorHAnsi"/>
          <w:sz w:val="22"/>
          <w:szCs w:val="22"/>
          <w:lang w:eastAsia="en-US"/>
        </w:rPr>
        <w:t>)</w:t>
      </w:r>
      <w:r w:rsidRPr="00114569">
        <w:rPr>
          <w:rFonts w:asciiTheme="minorHAnsi" w:eastAsiaTheme="minorHAnsi" w:hAnsiTheme="minorHAnsi" w:cstheme="minorHAnsi"/>
          <w:sz w:val="22"/>
          <w:szCs w:val="22"/>
          <w:lang w:eastAsia="en-US"/>
        </w:rPr>
        <w:tab/>
        <w:t>measures to avert or minimise the terminations; and</w:t>
      </w:r>
    </w:p>
    <w:p w14:paraId="47E9B774" w14:textId="03BFE615" w:rsidR="00114569" w:rsidRPr="00114569" w:rsidRDefault="00114569" w:rsidP="0018171E">
      <w:pPr>
        <w:pStyle w:val="BodyText"/>
        <w:ind w:left="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lastRenderedPageBreak/>
        <w:t>(ii)</w:t>
      </w:r>
      <w:r w:rsidRPr="00114569">
        <w:rPr>
          <w:rFonts w:asciiTheme="minorHAnsi" w:eastAsiaTheme="minorHAnsi" w:hAnsiTheme="minorHAnsi" w:cstheme="minorHAnsi"/>
          <w:sz w:val="22"/>
          <w:szCs w:val="22"/>
          <w:lang w:eastAsia="en-US"/>
        </w:rPr>
        <w:tab/>
        <w:t>measures (such as finding alternative employment) to mitigate the adverse effects of the termination(s).</w:t>
      </w:r>
    </w:p>
    <w:p w14:paraId="7E0FC6E7" w14:textId="2F07C0ED" w:rsidR="00114569" w:rsidRPr="00A37F10" w:rsidRDefault="00114569" w:rsidP="00A37F10">
      <w:pPr>
        <w:pStyle w:val="Heading3"/>
        <w:rPr>
          <w:rFonts w:eastAsiaTheme="minorHAnsi"/>
          <w:lang w:eastAsia="en-US"/>
        </w:rPr>
      </w:pPr>
      <w:r w:rsidRPr="00114569">
        <w:rPr>
          <w:rFonts w:eastAsiaTheme="minorHAnsi"/>
          <w:lang w:eastAsia="en-US"/>
        </w:rPr>
        <w:t>Voluntary Requests</w:t>
      </w:r>
    </w:p>
    <w:p w14:paraId="30B483AB" w14:textId="0C071513" w:rsidR="00A37F10" w:rsidRPr="00114569" w:rsidRDefault="00114569" w:rsidP="00114569">
      <w:pPr>
        <w:pStyle w:val="BodyText"/>
        <w:rPr>
          <w:rFonts w:asciiTheme="minorHAnsi" w:eastAsiaTheme="minorHAnsi" w:hAnsiTheme="minorHAnsi" w:cstheme="minorHAnsi"/>
          <w:sz w:val="22"/>
          <w:szCs w:val="22"/>
          <w:lang w:eastAsia="en-US"/>
        </w:rPr>
      </w:pPr>
      <w:r w:rsidRPr="00A37F10">
        <w:rPr>
          <w:rFonts w:asciiTheme="minorHAnsi" w:eastAsiaTheme="minorHAnsi" w:hAnsiTheme="minorHAnsi" w:cstheme="minorHAnsi"/>
          <w:sz w:val="22"/>
          <w:szCs w:val="22"/>
          <w:highlight w:val="yellow"/>
          <w:lang w:eastAsia="en-US"/>
        </w:rPr>
        <w:t>Organisation name</w:t>
      </w:r>
      <w:r w:rsidRPr="00114569">
        <w:rPr>
          <w:rFonts w:asciiTheme="minorHAnsi" w:eastAsiaTheme="minorHAnsi" w:hAnsiTheme="minorHAnsi" w:cstheme="minorHAnsi"/>
          <w:sz w:val="22"/>
          <w:szCs w:val="22"/>
          <w:lang w:eastAsia="en-US"/>
        </w:rPr>
        <w:t xml:space="preserve"> may consider any requests for voluntary redundancy in line with the needs of the business. However, there is no requirement on </w:t>
      </w:r>
      <w:r w:rsidR="008408EF">
        <w:rPr>
          <w:rFonts w:asciiTheme="minorHAnsi" w:eastAsiaTheme="minorHAnsi" w:hAnsiTheme="minorHAnsi" w:cstheme="minorHAnsi"/>
          <w:sz w:val="22"/>
          <w:szCs w:val="22"/>
          <w:highlight w:val="yellow"/>
          <w:lang w:eastAsia="en-US"/>
        </w:rPr>
        <w:t>O</w:t>
      </w:r>
      <w:r w:rsidRPr="00A37F10">
        <w:rPr>
          <w:rFonts w:asciiTheme="minorHAnsi" w:eastAsiaTheme="minorHAnsi" w:hAnsiTheme="minorHAnsi" w:cstheme="minorHAnsi"/>
          <w:sz w:val="22"/>
          <w:szCs w:val="22"/>
          <w:highlight w:val="yellow"/>
          <w:lang w:eastAsia="en-US"/>
        </w:rPr>
        <w:t>rganisation name</w:t>
      </w:r>
      <w:r w:rsidRPr="00114569">
        <w:rPr>
          <w:rFonts w:asciiTheme="minorHAnsi" w:eastAsiaTheme="minorHAnsi" w:hAnsiTheme="minorHAnsi" w:cstheme="minorHAnsi"/>
          <w:sz w:val="22"/>
          <w:szCs w:val="22"/>
          <w:lang w:eastAsia="en-US"/>
        </w:rPr>
        <w:t xml:space="preserve"> to consider or accept voluntary applications.</w:t>
      </w:r>
    </w:p>
    <w:p w14:paraId="1A291EF7" w14:textId="182C11DD" w:rsidR="00114569" w:rsidRPr="00A37F10" w:rsidRDefault="00114569" w:rsidP="00A37F10">
      <w:pPr>
        <w:pStyle w:val="Heading3"/>
        <w:rPr>
          <w:rFonts w:eastAsiaTheme="minorHAnsi"/>
          <w:lang w:eastAsia="en-US"/>
        </w:rPr>
      </w:pPr>
      <w:r w:rsidRPr="00114569">
        <w:rPr>
          <w:rFonts w:eastAsiaTheme="minorHAnsi"/>
          <w:lang w:eastAsia="en-US"/>
        </w:rPr>
        <w:t>Notice Period</w:t>
      </w:r>
    </w:p>
    <w:p w14:paraId="3695AE11" w14:textId="305BBF54" w:rsidR="00114569" w:rsidRDefault="00114569" w:rsidP="00114569">
      <w:pPr>
        <w:pStyle w:val="BodyText"/>
        <w:rPr>
          <w:rFonts w:asciiTheme="minorHAnsi" w:eastAsiaTheme="minorHAnsi" w:hAnsiTheme="minorHAnsi" w:cstheme="minorHAnsi"/>
          <w:sz w:val="22"/>
          <w:szCs w:val="22"/>
          <w:lang w:eastAsia="en-US"/>
        </w:rPr>
      </w:pPr>
      <w:proofErr w:type="gramStart"/>
      <w:r w:rsidRPr="00114569">
        <w:rPr>
          <w:rFonts w:asciiTheme="minorHAnsi" w:eastAsiaTheme="minorHAnsi" w:hAnsiTheme="minorHAnsi" w:cstheme="minorHAnsi"/>
          <w:sz w:val="22"/>
          <w:szCs w:val="22"/>
          <w:lang w:eastAsia="en-US"/>
        </w:rPr>
        <w:t>In order to</w:t>
      </w:r>
      <w:proofErr w:type="gramEnd"/>
      <w:r w:rsidRPr="00114569">
        <w:rPr>
          <w:rFonts w:asciiTheme="minorHAnsi" w:eastAsiaTheme="minorHAnsi" w:hAnsiTheme="minorHAnsi" w:cstheme="minorHAnsi"/>
          <w:sz w:val="22"/>
          <w:szCs w:val="22"/>
          <w:lang w:eastAsia="en-US"/>
        </w:rPr>
        <w:t xml:space="preserve"> terminate the employment of an Employee</w:t>
      </w:r>
      <w:r w:rsidR="008408EF">
        <w:rPr>
          <w:rFonts w:asciiTheme="minorHAnsi" w:eastAsiaTheme="minorHAnsi" w:hAnsiTheme="minorHAnsi" w:cstheme="minorHAnsi"/>
          <w:sz w:val="22"/>
          <w:szCs w:val="22"/>
          <w:lang w:eastAsia="en-US"/>
        </w:rPr>
        <w:t>,</w:t>
      </w:r>
      <w:r w:rsidRPr="00114569">
        <w:rPr>
          <w:rFonts w:asciiTheme="minorHAnsi" w:eastAsiaTheme="minorHAnsi" w:hAnsiTheme="minorHAnsi" w:cstheme="minorHAnsi"/>
          <w:sz w:val="22"/>
          <w:szCs w:val="22"/>
          <w:lang w:eastAsia="en-US"/>
        </w:rPr>
        <w:t xml:space="preserve"> </w:t>
      </w:r>
      <w:r w:rsidR="008408EF">
        <w:rPr>
          <w:rFonts w:asciiTheme="minorHAnsi" w:eastAsiaTheme="minorHAnsi" w:hAnsiTheme="minorHAnsi" w:cstheme="minorHAnsi"/>
          <w:sz w:val="22"/>
          <w:szCs w:val="22"/>
          <w:highlight w:val="yellow"/>
          <w:lang w:eastAsia="en-US"/>
        </w:rPr>
        <w:t>O</w:t>
      </w:r>
      <w:r w:rsidRPr="00A37F10">
        <w:rPr>
          <w:rFonts w:asciiTheme="minorHAnsi" w:eastAsiaTheme="minorHAnsi" w:hAnsiTheme="minorHAnsi" w:cstheme="minorHAnsi"/>
          <w:sz w:val="22"/>
          <w:szCs w:val="22"/>
          <w:highlight w:val="yellow"/>
          <w:lang w:eastAsia="en-US"/>
        </w:rPr>
        <w:t>rganisation name</w:t>
      </w:r>
      <w:r w:rsidR="00A37F10">
        <w:rPr>
          <w:rFonts w:asciiTheme="minorHAnsi" w:eastAsiaTheme="minorHAnsi" w:hAnsiTheme="minorHAnsi" w:cstheme="minorHAnsi"/>
          <w:sz w:val="22"/>
          <w:szCs w:val="22"/>
          <w:lang w:eastAsia="en-US"/>
        </w:rPr>
        <w:t xml:space="preserve"> </w:t>
      </w:r>
      <w:r w:rsidRPr="00114569">
        <w:rPr>
          <w:rFonts w:asciiTheme="minorHAnsi" w:eastAsiaTheme="minorHAnsi" w:hAnsiTheme="minorHAnsi" w:cstheme="minorHAnsi"/>
          <w:sz w:val="22"/>
          <w:szCs w:val="22"/>
          <w:lang w:eastAsia="en-US"/>
        </w:rPr>
        <w:t>will give to the Employee notice in accordance with the following table:</w:t>
      </w:r>
    </w:p>
    <w:tbl>
      <w:tblPr>
        <w:tblStyle w:val="PrimaryTable"/>
        <w:tblW w:w="0" w:type="auto"/>
        <w:tblLook w:val="04A0" w:firstRow="1" w:lastRow="0" w:firstColumn="1" w:lastColumn="0" w:noHBand="0" w:noVBand="1"/>
      </w:tblPr>
      <w:tblGrid>
        <w:gridCol w:w="4393"/>
        <w:gridCol w:w="4394"/>
      </w:tblGrid>
      <w:tr w:rsidR="00A37F10" w14:paraId="2DE09D95" w14:textId="77777777" w:rsidTr="00A37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158B42AD" w14:textId="36A6C7ED"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People of continuous service</w:t>
            </w:r>
          </w:p>
        </w:tc>
        <w:tc>
          <w:tcPr>
            <w:tcW w:w="4394" w:type="dxa"/>
          </w:tcPr>
          <w:p w14:paraId="1A89A737" w14:textId="2D87DB9C" w:rsidR="00A37F10" w:rsidRDefault="00A37F10" w:rsidP="00114569">
            <w:pPr>
              <w:pStyle w:val="BodyText"/>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Period of notice</w:t>
            </w:r>
          </w:p>
        </w:tc>
      </w:tr>
      <w:tr w:rsidR="00A37F10" w14:paraId="57B364ED" w14:textId="77777777" w:rsidTr="00A37F10">
        <w:tc>
          <w:tcPr>
            <w:cnfStyle w:val="001000000000" w:firstRow="0" w:lastRow="0" w:firstColumn="1" w:lastColumn="0" w:oddVBand="0" w:evenVBand="0" w:oddHBand="0" w:evenHBand="0" w:firstRowFirstColumn="0" w:firstRowLastColumn="0" w:lastRowFirstColumn="0" w:lastRowLastColumn="0"/>
            <w:tcW w:w="4393" w:type="dxa"/>
          </w:tcPr>
          <w:p w14:paraId="1D0A243D" w14:textId="10769EE9"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Less than 1 year</w:t>
            </w:r>
          </w:p>
        </w:tc>
        <w:tc>
          <w:tcPr>
            <w:tcW w:w="4394" w:type="dxa"/>
          </w:tcPr>
          <w:p w14:paraId="291CFA19" w14:textId="5ED2D19B" w:rsidR="00A37F10" w:rsidRDefault="00A37F10" w:rsidP="00114569">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 week</w:t>
            </w:r>
          </w:p>
        </w:tc>
      </w:tr>
      <w:tr w:rsidR="00A37F10" w14:paraId="7AA6787B" w14:textId="77777777" w:rsidTr="00A37F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4A7C7B42" w14:textId="43CC136A"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 year and less than 3 years</w:t>
            </w:r>
          </w:p>
        </w:tc>
        <w:tc>
          <w:tcPr>
            <w:tcW w:w="4394" w:type="dxa"/>
          </w:tcPr>
          <w:p w14:paraId="249170F0" w14:textId="3A8F0DF2" w:rsidR="00A37F10" w:rsidRDefault="00A37F10" w:rsidP="00114569">
            <w:pPr>
              <w:pStyle w:val="BodyTex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2 weeks</w:t>
            </w:r>
          </w:p>
        </w:tc>
      </w:tr>
      <w:tr w:rsidR="00A37F10" w14:paraId="7B13DB56" w14:textId="77777777" w:rsidTr="00A37F10">
        <w:tc>
          <w:tcPr>
            <w:cnfStyle w:val="001000000000" w:firstRow="0" w:lastRow="0" w:firstColumn="1" w:lastColumn="0" w:oddVBand="0" w:evenVBand="0" w:oddHBand="0" w:evenHBand="0" w:firstRowFirstColumn="0" w:firstRowLastColumn="0" w:lastRowFirstColumn="0" w:lastRowLastColumn="0"/>
            <w:tcW w:w="4393" w:type="dxa"/>
          </w:tcPr>
          <w:p w14:paraId="45745150" w14:textId="541BA8D3"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3 years and less than 5 years</w:t>
            </w:r>
          </w:p>
        </w:tc>
        <w:tc>
          <w:tcPr>
            <w:tcW w:w="4394" w:type="dxa"/>
          </w:tcPr>
          <w:p w14:paraId="1A604A6C" w14:textId="6F7A743D" w:rsidR="00A37F10" w:rsidRDefault="00A37F10" w:rsidP="00114569">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3 weeks</w:t>
            </w:r>
          </w:p>
        </w:tc>
      </w:tr>
      <w:tr w:rsidR="00A37F10" w14:paraId="2EA4E480" w14:textId="77777777" w:rsidTr="00A37F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1AAB9303" w14:textId="636671AC"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5 years and over</w:t>
            </w:r>
          </w:p>
        </w:tc>
        <w:tc>
          <w:tcPr>
            <w:tcW w:w="4394" w:type="dxa"/>
          </w:tcPr>
          <w:p w14:paraId="4333A099" w14:textId="1ECF3B03" w:rsidR="00A37F10" w:rsidRDefault="00A37F10" w:rsidP="00114569">
            <w:pPr>
              <w:pStyle w:val="BodyTex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 weeks</w:t>
            </w:r>
          </w:p>
        </w:tc>
      </w:tr>
    </w:tbl>
    <w:p w14:paraId="280596BA" w14:textId="0F17AA8C"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In addition to the notice above, Employees over 45 years of age at the time of the giving of the notice with not less than two years continuous service, shall be entitled to an additional week’s notice.</w:t>
      </w:r>
    </w:p>
    <w:p w14:paraId="77EF264D" w14:textId="6C4F5AE5" w:rsidR="00114569" w:rsidRPr="00114569" w:rsidRDefault="00A37F10" w:rsidP="00114569">
      <w:pPr>
        <w:pStyle w:val="BodyText"/>
        <w:rPr>
          <w:rFonts w:asciiTheme="minorHAnsi" w:eastAsiaTheme="minorHAnsi" w:hAnsiTheme="minorHAnsi" w:cstheme="minorHAnsi"/>
          <w:sz w:val="22"/>
          <w:szCs w:val="22"/>
          <w:lang w:eastAsia="en-US"/>
        </w:rPr>
      </w:pPr>
      <w:r w:rsidRPr="00A37F10">
        <w:rPr>
          <w:rFonts w:asciiTheme="minorHAnsi" w:eastAsiaTheme="minorHAnsi" w:hAnsiTheme="minorHAnsi" w:cstheme="minorHAnsi"/>
          <w:sz w:val="22"/>
          <w:szCs w:val="22"/>
          <w:highlight w:val="yellow"/>
          <w:lang w:eastAsia="en-US"/>
        </w:rPr>
        <w:t>O</w:t>
      </w:r>
      <w:r w:rsidR="00114569" w:rsidRPr="00A37F10">
        <w:rPr>
          <w:rFonts w:asciiTheme="minorHAnsi" w:eastAsiaTheme="minorHAnsi" w:hAnsiTheme="minorHAnsi" w:cstheme="minorHAnsi"/>
          <w:sz w:val="22"/>
          <w:szCs w:val="22"/>
          <w:highlight w:val="yellow"/>
          <w:lang w:eastAsia="en-US"/>
        </w:rPr>
        <w:t>rganisation name</w:t>
      </w:r>
      <w:r w:rsidR="00114569" w:rsidRPr="00114569">
        <w:rPr>
          <w:rFonts w:asciiTheme="minorHAnsi" w:eastAsiaTheme="minorHAnsi" w:hAnsiTheme="minorHAnsi" w:cstheme="minorHAnsi"/>
          <w:sz w:val="22"/>
          <w:szCs w:val="22"/>
          <w:lang w:eastAsia="en-US"/>
        </w:rPr>
        <w:t xml:space="preserve"> may elect to pay an Employee in lieu of part or </w:t>
      </w:r>
      <w:proofErr w:type="gramStart"/>
      <w:r w:rsidR="00114569" w:rsidRPr="00114569">
        <w:rPr>
          <w:rFonts w:asciiTheme="minorHAnsi" w:eastAsiaTheme="minorHAnsi" w:hAnsiTheme="minorHAnsi" w:cstheme="minorHAnsi"/>
          <w:sz w:val="22"/>
          <w:szCs w:val="22"/>
          <w:lang w:eastAsia="en-US"/>
        </w:rPr>
        <w:t>all of</w:t>
      </w:r>
      <w:proofErr w:type="gramEnd"/>
      <w:r w:rsidR="00114569" w:rsidRPr="00114569">
        <w:rPr>
          <w:rFonts w:asciiTheme="minorHAnsi" w:eastAsiaTheme="minorHAnsi" w:hAnsiTheme="minorHAnsi" w:cstheme="minorHAnsi"/>
          <w:sz w:val="22"/>
          <w:szCs w:val="22"/>
          <w:lang w:eastAsia="en-US"/>
        </w:rPr>
        <w:t xml:space="preserve"> the notice period. Alternatively, </w:t>
      </w:r>
      <w:r w:rsidR="008408EF">
        <w:rPr>
          <w:rFonts w:asciiTheme="minorHAnsi" w:eastAsiaTheme="minorHAnsi" w:hAnsiTheme="minorHAnsi" w:cstheme="minorHAnsi"/>
          <w:sz w:val="22"/>
          <w:szCs w:val="22"/>
          <w:highlight w:val="yellow"/>
          <w:lang w:eastAsia="en-US"/>
        </w:rPr>
        <w:t>O</w:t>
      </w:r>
      <w:r w:rsidR="00114569" w:rsidRPr="00A37F10">
        <w:rPr>
          <w:rFonts w:asciiTheme="minorHAnsi" w:eastAsiaTheme="minorHAnsi" w:hAnsiTheme="minorHAnsi" w:cstheme="minorHAnsi"/>
          <w:sz w:val="22"/>
          <w:szCs w:val="22"/>
          <w:highlight w:val="yellow"/>
          <w:lang w:eastAsia="en-US"/>
        </w:rPr>
        <w:t>rganisation name</w:t>
      </w:r>
      <w:r w:rsidR="00114569" w:rsidRPr="00114569">
        <w:rPr>
          <w:rFonts w:asciiTheme="minorHAnsi" w:eastAsiaTheme="minorHAnsi" w:hAnsiTheme="minorHAnsi" w:cstheme="minorHAnsi"/>
          <w:sz w:val="22"/>
          <w:szCs w:val="22"/>
          <w:lang w:eastAsia="en-US"/>
        </w:rPr>
        <w:t xml:space="preserve"> may require an Employee not to report for work, or provide altered duties, during part or </w:t>
      </w:r>
      <w:proofErr w:type="gramStart"/>
      <w:r w:rsidRPr="00114569">
        <w:rPr>
          <w:rFonts w:asciiTheme="minorHAnsi" w:eastAsiaTheme="minorHAnsi" w:hAnsiTheme="minorHAnsi" w:cstheme="minorHAnsi"/>
          <w:sz w:val="22"/>
          <w:szCs w:val="22"/>
          <w:lang w:eastAsia="en-US"/>
        </w:rPr>
        <w:t>all</w:t>
      </w:r>
      <w:r w:rsidR="00114569" w:rsidRPr="00114569">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of</w:t>
      </w:r>
      <w:proofErr w:type="gramEnd"/>
      <w:r>
        <w:rPr>
          <w:rFonts w:asciiTheme="minorHAnsi" w:eastAsiaTheme="minorHAnsi" w:hAnsiTheme="minorHAnsi" w:cstheme="minorHAnsi"/>
          <w:sz w:val="22"/>
          <w:szCs w:val="22"/>
          <w:lang w:eastAsia="en-US"/>
        </w:rPr>
        <w:t xml:space="preserve"> </w:t>
      </w:r>
      <w:r w:rsidR="00114569" w:rsidRPr="00114569">
        <w:rPr>
          <w:rFonts w:asciiTheme="minorHAnsi" w:eastAsiaTheme="minorHAnsi" w:hAnsiTheme="minorHAnsi" w:cstheme="minorHAnsi"/>
          <w:sz w:val="22"/>
          <w:szCs w:val="22"/>
          <w:lang w:eastAsia="en-US"/>
        </w:rPr>
        <w:t xml:space="preserve">the notice period. </w:t>
      </w:r>
    </w:p>
    <w:p w14:paraId="2855AA3D" w14:textId="20A5CFC6" w:rsidR="00114569" w:rsidRPr="00A37F10" w:rsidRDefault="00114569" w:rsidP="00A37F10">
      <w:pPr>
        <w:pStyle w:val="Heading3"/>
        <w:rPr>
          <w:rFonts w:eastAsiaTheme="minorHAnsi"/>
          <w:lang w:eastAsia="en-US"/>
        </w:rPr>
      </w:pPr>
      <w:r w:rsidRPr="00114569">
        <w:rPr>
          <w:rFonts w:eastAsiaTheme="minorHAnsi"/>
          <w:lang w:eastAsia="en-US"/>
        </w:rPr>
        <w:t>Redeployment</w:t>
      </w:r>
    </w:p>
    <w:p w14:paraId="72CDD0D6" w14:textId="722677CC"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 xml:space="preserve">During the Notice Period </w:t>
      </w:r>
      <w:r w:rsidR="008408EF">
        <w:rPr>
          <w:rFonts w:asciiTheme="minorHAnsi" w:eastAsiaTheme="minorHAnsi" w:hAnsiTheme="minorHAnsi" w:cstheme="minorHAnsi"/>
          <w:sz w:val="22"/>
          <w:szCs w:val="22"/>
          <w:highlight w:val="yellow"/>
          <w:lang w:eastAsia="en-US"/>
        </w:rPr>
        <w:t>O</w:t>
      </w:r>
      <w:r w:rsidRPr="00A37F10">
        <w:rPr>
          <w:rFonts w:asciiTheme="minorHAnsi" w:eastAsiaTheme="minorHAnsi" w:hAnsiTheme="minorHAnsi" w:cstheme="minorHAnsi"/>
          <w:sz w:val="22"/>
          <w:szCs w:val="22"/>
          <w:highlight w:val="yellow"/>
          <w:lang w:eastAsia="en-US"/>
        </w:rPr>
        <w:t>rganisation name</w:t>
      </w:r>
      <w:r w:rsidR="00A37F10">
        <w:rPr>
          <w:rFonts w:asciiTheme="minorHAnsi" w:eastAsiaTheme="minorHAnsi" w:hAnsiTheme="minorHAnsi" w:cstheme="minorHAnsi"/>
          <w:sz w:val="22"/>
          <w:szCs w:val="22"/>
          <w:lang w:eastAsia="en-US"/>
        </w:rPr>
        <w:t xml:space="preserve"> </w:t>
      </w:r>
      <w:r w:rsidRPr="00114569">
        <w:rPr>
          <w:rFonts w:asciiTheme="minorHAnsi" w:eastAsiaTheme="minorHAnsi" w:hAnsiTheme="minorHAnsi" w:cstheme="minorHAnsi"/>
          <w:sz w:val="22"/>
          <w:szCs w:val="22"/>
          <w:lang w:eastAsia="en-US"/>
        </w:rPr>
        <w:t xml:space="preserve">may attempt to find alternative employment for the Employee both within and outside of </w:t>
      </w:r>
      <w:r w:rsidR="008408EF">
        <w:rPr>
          <w:rFonts w:asciiTheme="minorHAnsi" w:eastAsiaTheme="minorHAnsi" w:hAnsiTheme="minorHAnsi" w:cstheme="minorHAnsi"/>
          <w:sz w:val="22"/>
          <w:szCs w:val="22"/>
          <w:highlight w:val="yellow"/>
          <w:lang w:eastAsia="en-US"/>
        </w:rPr>
        <w:t>O</w:t>
      </w:r>
      <w:r w:rsidR="00A37F10" w:rsidRPr="00A37F10">
        <w:rPr>
          <w:rFonts w:asciiTheme="minorHAnsi" w:eastAsiaTheme="minorHAnsi" w:hAnsiTheme="minorHAnsi" w:cstheme="minorHAnsi"/>
          <w:sz w:val="22"/>
          <w:szCs w:val="22"/>
          <w:highlight w:val="yellow"/>
          <w:lang w:eastAsia="en-US"/>
        </w:rPr>
        <w:t>rganisation name</w:t>
      </w:r>
      <w:r w:rsidR="00A37F10">
        <w:rPr>
          <w:rFonts w:asciiTheme="minorHAnsi" w:eastAsiaTheme="minorHAnsi" w:hAnsiTheme="minorHAnsi" w:cstheme="minorHAnsi"/>
          <w:sz w:val="22"/>
          <w:szCs w:val="22"/>
          <w:lang w:eastAsia="en-US"/>
        </w:rPr>
        <w:t>.</w:t>
      </w:r>
    </w:p>
    <w:p w14:paraId="708C5AAD" w14:textId="37182A0A"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 xml:space="preserve">If </w:t>
      </w:r>
      <w:r w:rsidR="008408EF">
        <w:rPr>
          <w:rFonts w:asciiTheme="minorHAnsi" w:eastAsiaTheme="minorHAnsi" w:hAnsiTheme="minorHAnsi" w:cstheme="minorHAnsi"/>
          <w:sz w:val="22"/>
          <w:szCs w:val="22"/>
          <w:highlight w:val="yellow"/>
          <w:lang w:eastAsia="en-US"/>
        </w:rPr>
        <w:t>O</w:t>
      </w:r>
      <w:r w:rsidR="00A37F10" w:rsidRPr="00A37F10">
        <w:rPr>
          <w:rFonts w:asciiTheme="minorHAnsi" w:eastAsiaTheme="minorHAnsi" w:hAnsiTheme="minorHAnsi" w:cstheme="minorHAnsi"/>
          <w:sz w:val="22"/>
          <w:szCs w:val="22"/>
          <w:highlight w:val="yellow"/>
          <w:lang w:eastAsia="en-US"/>
        </w:rPr>
        <w:t>rganisation name</w:t>
      </w:r>
      <w:r w:rsidR="00A37F10">
        <w:rPr>
          <w:rFonts w:asciiTheme="minorHAnsi" w:eastAsiaTheme="minorHAnsi" w:hAnsiTheme="minorHAnsi" w:cstheme="minorHAnsi"/>
          <w:sz w:val="22"/>
          <w:szCs w:val="22"/>
          <w:lang w:eastAsia="en-US"/>
        </w:rPr>
        <w:t xml:space="preserve"> </w:t>
      </w:r>
      <w:r w:rsidRPr="00114569">
        <w:rPr>
          <w:rFonts w:asciiTheme="minorHAnsi" w:eastAsiaTheme="minorHAnsi" w:hAnsiTheme="minorHAnsi" w:cstheme="minorHAnsi"/>
          <w:sz w:val="22"/>
          <w:szCs w:val="22"/>
          <w:lang w:eastAsia="en-US"/>
        </w:rPr>
        <w:t xml:space="preserve">offers an </w:t>
      </w:r>
      <w:proofErr w:type="gramStart"/>
      <w:r w:rsidRPr="00114569">
        <w:rPr>
          <w:rFonts w:asciiTheme="minorHAnsi" w:eastAsiaTheme="minorHAnsi" w:hAnsiTheme="minorHAnsi" w:cstheme="minorHAnsi"/>
          <w:sz w:val="22"/>
          <w:szCs w:val="22"/>
          <w:lang w:eastAsia="en-US"/>
        </w:rPr>
        <w:t>Employee</w:t>
      </w:r>
      <w:proofErr w:type="gramEnd"/>
      <w:r w:rsidRPr="00114569">
        <w:rPr>
          <w:rFonts w:asciiTheme="minorHAnsi" w:eastAsiaTheme="minorHAnsi" w:hAnsiTheme="minorHAnsi" w:cstheme="minorHAnsi"/>
          <w:sz w:val="22"/>
          <w:szCs w:val="22"/>
          <w:lang w:eastAsia="en-US"/>
        </w:rPr>
        <w:t xml:space="preserve"> alternative employment or obtains an offer of alternative employment from another employer, </w:t>
      </w:r>
      <w:r w:rsidR="008408EF">
        <w:rPr>
          <w:rFonts w:asciiTheme="minorHAnsi" w:eastAsiaTheme="minorHAnsi" w:hAnsiTheme="minorHAnsi" w:cstheme="minorHAnsi"/>
          <w:sz w:val="22"/>
          <w:szCs w:val="22"/>
          <w:highlight w:val="yellow"/>
          <w:lang w:eastAsia="en-US"/>
        </w:rPr>
        <w:t>Or</w:t>
      </w:r>
      <w:r w:rsidR="00A37F10" w:rsidRPr="00A37F10">
        <w:rPr>
          <w:rFonts w:asciiTheme="minorHAnsi" w:eastAsiaTheme="minorHAnsi" w:hAnsiTheme="minorHAnsi" w:cstheme="minorHAnsi"/>
          <w:sz w:val="22"/>
          <w:szCs w:val="22"/>
          <w:highlight w:val="yellow"/>
          <w:lang w:eastAsia="en-US"/>
        </w:rPr>
        <w:t>ganisation name</w:t>
      </w:r>
      <w:r w:rsidR="00A37F10">
        <w:rPr>
          <w:rFonts w:asciiTheme="minorHAnsi" w:eastAsiaTheme="minorHAnsi" w:hAnsiTheme="minorHAnsi" w:cstheme="minorHAnsi"/>
          <w:sz w:val="22"/>
          <w:szCs w:val="22"/>
          <w:lang w:eastAsia="en-US"/>
        </w:rPr>
        <w:t xml:space="preserve"> </w:t>
      </w:r>
      <w:r w:rsidRPr="00114569">
        <w:rPr>
          <w:rFonts w:asciiTheme="minorHAnsi" w:eastAsiaTheme="minorHAnsi" w:hAnsiTheme="minorHAnsi" w:cstheme="minorHAnsi"/>
          <w:sz w:val="22"/>
          <w:szCs w:val="22"/>
          <w:lang w:eastAsia="en-US"/>
        </w:rPr>
        <w:t xml:space="preserve">may apply to the Fair Work Commission to have any NES redundancy payments set aside. Where the entitlements under this policy are greater than the NES, </w:t>
      </w:r>
      <w:r w:rsidR="008408EF">
        <w:rPr>
          <w:rFonts w:asciiTheme="minorHAnsi" w:eastAsiaTheme="minorHAnsi" w:hAnsiTheme="minorHAnsi" w:cstheme="minorHAnsi"/>
          <w:sz w:val="22"/>
          <w:szCs w:val="22"/>
          <w:highlight w:val="yellow"/>
          <w:lang w:eastAsia="en-US"/>
        </w:rPr>
        <w:t>O</w:t>
      </w:r>
      <w:r w:rsidR="00A37F10" w:rsidRPr="00A37F10">
        <w:rPr>
          <w:rFonts w:asciiTheme="minorHAnsi" w:eastAsiaTheme="minorHAnsi" w:hAnsiTheme="minorHAnsi" w:cstheme="minorHAnsi"/>
          <w:sz w:val="22"/>
          <w:szCs w:val="22"/>
          <w:highlight w:val="yellow"/>
          <w:lang w:eastAsia="en-US"/>
        </w:rPr>
        <w:t>rganisation name</w:t>
      </w:r>
      <w:r w:rsidR="00A37F10">
        <w:rPr>
          <w:rFonts w:asciiTheme="minorHAnsi" w:eastAsiaTheme="minorHAnsi" w:hAnsiTheme="minorHAnsi" w:cstheme="minorHAnsi"/>
          <w:sz w:val="22"/>
          <w:szCs w:val="22"/>
          <w:lang w:eastAsia="en-US"/>
        </w:rPr>
        <w:t xml:space="preserve"> </w:t>
      </w:r>
      <w:r w:rsidRPr="00114569">
        <w:rPr>
          <w:rFonts w:asciiTheme="minorHAnsi" w:eastAsiaTheme="minorHAnsi" w:hAnsiTheme="minorHAnsi" w:cstheme="minorHAnsi"/>
          <w:sz w:val="22"/>
          <w:szCs w:val="22"/>
          <w:lang w:eastAsia="en-US"/>
        </w:rPr>
        <w:t>may reduce the payment made at its discretion.</w:t>
      </w:r>
    </w:p>
    <w:p w14:paraId="610B72A5" w14:textId="71C0E637"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 xml:space="preserve">An Employee will not be entitled to receive a redundancy payment where in the opinion of </w:t>
      </w:r>
      <w:r w:rsidR="008408EF">
        <w:rPr>
          <w:rFonts w:asciiTheme="minorHAnsi" w:eastAsiaTheme="minorHAnsi" w:hAnsiTheme="minorHAnsi" w:cstheme="minorHAnsi"/>
          <w:sz w:val="22"/>
          <w:szCs w:val="22"/>
          <w:highlight w:val="yellow"/>
          <w:lang w:eastAsia="en-US"/>
        </w:rPr>
        <w:t>Or</w:t>
      </w:r>
      <w:r w:rsidR="00A37F10" w:rsidRPr="00A37F10">
        <w:rPr>
          <w:rFonts w:asciiTheme="minorHAnsi" w:eastAsiaTheme="minorHAnsi" w:hAnsiTheme="minorHAnsi" w:cstheme="minorHAnsi"/>
          <w:sz w:val="22"/>
          <w:szCs w:val="22"/>
          <w:highlight w:val="yellow"/>
          <w:lang w:eastAsia="en-US"/>
        </w:rPr>
        <w:t>ganisation name</w:t>
      </w:r>
      <w:r w:rsidR="00A37F10">
        <w:rPr>
          <w:rFonts w:asciiTheme="minorHAnsi" w:eastAsiaTheme="minorHAnsi" w:hAnsiTheme="minorHAnsi" w:cstheme="minorHAnsi"/>
          <w:sz w:val="22"/>
          <w:szCs w:val="22"/>
          <w:lang w:eastAsia="en-US"/>
        </w:rPr>
        <w:t xml:space="preserve"> </w:t>
      </w:r>
      <w:r w:rsidRPr="00114569">
        <w:rPr>
          <w:rFonts w:asciiTheme="minorHAnsi" w:eastAsiaTheme="minorHAnsi" w:hAnsiTheme="minorHAnsi" w:cstheme="minorHAnsi"/>
          <w:sz w:val="22"/>
          <w:szCs w:val="22"/>
          <w:lang w:eastAsia="en-US"/>
        </w:rPr>
        <w:t>the Employee unreasonably declines to accept an offer of redeployment.</w:t>
      </w:r>
    </w:p>
    <w:p w14:paraId="40B53D37" w14:textId="2D1A9BA2" w:rsidR="00114569" w:rsidRPr="00114569" w:rsidRDefault="00114569" w:rsidP="00A37F10">
      <w:pPr>
        <w:pStyle w:val="Heading3"/>
        <w:rPr>
          <w:rFonts w:eastAsiaTheme="minorHAnsi"/>
          <w:lang w:eastAsia="en-US"/>
        </w:rPr>
      </w:pPr>
      <w:r w:rsidRPr="00114569">
        <w:rPr>
          <w:rFonts w:eastAsiaTheme="minorHAnsi"/>
          <w:lang w:eastAsia="en-US"/>
        </w:rPr>
        <w:t>Transfer of Business</w:t>
      </w:r>
    </w:p>
    <w:p w14:paraId="3065032E" w14:textId="693A072C" w:rsidR="00114569" w:rsidRPr="00114569"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highlight w:val="yellow"/>
          <w:lang w:eastAsia="en-US"/>
        </w:rPr>
        <w:t>O</w:t>
      </w:r>
      <w:r w:rsidRPr="00A37F10">
        <w:rPr>
          <w:rFonts w:asciiTheme="minorHAnsi" w:eastAsiaTheme="minorHAnsi" w:hAnsiTheme="minorHAnsi" w:cstheme="minorHAnsi"/>
          <w:sz w:val="22"/>
          <w:szCs w:val="22"/>
          <w:highlight w:val="yellow"/>
          <w:lang w:eastAsia="en-US"/>
        </w:rPr>
        <w:t>rganisation name</w:t>
      </w:r>
      <w:r>
        <w:rPr>
          <w:rFonts w:asciiTheme="minorHAnsi" w:eastAsiaTheme="minorHAnsi" w:hAnsiTheme="minorHAnsi" w:cstheme="minorHAnsi"/>
          <w:sz w:val="22"/>
          <w:szCs w:val="22"/>
          <w:lang w:eastAsia="en-US"/>
        </w:rPr>
        <w:t xml:space="preserve"> </w:t>
      </w:r>
      <w:r w:rsidR="00114569" w:rsidRPr="00114569">
        <w:rPr>
          <w:rFonts w:asciiTheme="minorHAnsi" w:eastAsiaTheme="minorHAnsi" w:hAnsiTheme="minorHAnsi" w:cstheme="minorHAnsi"/>
          <w:sz w:val="22"/>
          <w:szCs w:val="22"/>
          <w:lang w:eastAsia="en-US"/>
        </w:rPr>
        <w:t xml:space="preserve">will not provide a redundancy payment under this Policy where an </w:t>
      </w:r>
      <w:proofErr w:type="gramStart"/>
      <w:r w:rsidR="00114569" w:rsidRPr="00114569">
        <w:rPr>
          <w:rFonts w:asciiTheme="minorHAnsi" w:eastAsiaTheme="minorHAnsi" w:hAnsiTheme="minorHAnsi" w:cstheme="minorHAnsi"/>
          <w:sz w:val="22"/>
          <w:szCs w:val="22"/>
          <w:lang w:eastAsia="en-US"/>
        </w:rPr>
        <w:t>Employee’s</w:t>
      </w:r>
      <w:proofErr w:type="gramEnd"/>
      <w:r w:rsidR="00114569" w:rsidRPr="00114569">
        <w:rPr>
          <w:rFonts w:asciiTheme="minorHAnsi" w:eastAsiaTheme="minorHAnsi" w:hAnsiTheme="minorHAnsi" w:cstheme="minorHAnsi"/>
          <w:sz w:val="22"/>
          <w:szCs w:val="22"/>
          <w:lang w:eastAsia="en-US"/>
        </w:rPr>
        <w:t xml:space="preserve"> employment is transferred to another employer where the period of continuous service with the Employee and </w:t>
      </w:r>
      <w:r w:rsidR="008408EF">
        <w:rPr>
          <w:rFonts w:asciiTheme="minorHAnsi" w:eastAsiaTheme="minorHAnsi" w:hAnsiTheme="minorHAnsi" w:cstheme="minorHAnsi"/>
          <w:sz w:val="22"/>
          <w:szCs w:val="22"/>
          <w:highlight w:val="yellow"/>
          <w:lang w:eastAsia="en-US"/>
        </w:rPr>
        <w:t>O</w:t>
      </w:r>
      <w:r w:rsidRPr="00A37F10">
        <w:rPr>
          <w:rFonts w:asciiTheme="minorHAnsi" w:eastAsiaTheme="minorHAnsi" w:hAnsiTheme="minorHAnsi" w:cstheme="minorHAnsi"/>
          <w:sz w:val="22"/>
          <w:szCs w:val="22"/>
          <w:highlight w:val="yellow"/>
          <w:lang w:eastAsia="en-US"/>
        </w:rPr>
        <w:t>rganisation name</w:t>
      </w:r>
      <w:r>
        <w:rPr>
          <w:rFonts w:asciiTheme="minorHAnsi" w:eastAsiaTheme="minorHAnsi" w:hAnsiTheme="minorHAnsi" w:cstheme="minorHAnsi"/>
          <w:sz w:val="22"/>
          <w:szCs w:val="22"/>
          <w:lang w:eastAsia="en-US"/>
        </w:rPr>
        <w:t xml:space="preserve"> </w:t>
      </w:r>
      <w:r w:rsidR="00114569" w:rsidRPr="00114569">
        <w:rPr>
          <w:rFonts w:asciiTheme="minorHAnsi" w:eastAsiaTheme="minorHAnsi" w:hAnsiTheme="minorHAnsi" w:cstheme="minorHAnsi"/>
          <w:sz w:val="22"/>
          <w:szCs w:val="22"/>
          <w:lang w:eastAsia="en-US"/>
        </w:rPr>
        <w:t>is recognised by the new employer.</w:t>
      </w:r>
    </w:p>
    <w:p w14:paraId="2E37D314" w14:textId="35CCE03F" w:rsidR="00114569" w:rsidRPr="00114569"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highlight w:val="yellow"/>
          <w:lang w:eastAsia="en-US"/>
        </w:rPr>
        <w:t>O</w:t>
      </w:r>
      <w:r w:rsidRPr="00A37F10">
        <w:rPr>
          <w:rFonts w:asciiTheme="minorHAnsi" w:eastAsiaTheme="minorHAnsi" w:hAnsiTheme="minorHAnsi" w:cstheme="minorHAnsi"/>
          <w:sz w:val="22"/>
          <w:szCs w:val="22"/>
          <w:highlight w:val="yellow"/>
          <w:lang w:eastAsia="en-US"/>
        </w:rPr>
        <w:t>rganisation name</w:t>
      </w:r>
      <w:r>
        <w:rPr>
          <w:rFonts w:asciiTheme="minorHAnsi" w:eastAsiaTheme="minorHAnsi" w:hAnsiTheme="minorHAnsi" w:cstheme="minorHAnsi"/>
          <w:sz w:val="22"/>
          <w:szCs w:val="22"/>
          <w:lang w:eastAsia="en-US"/>
        </w:rPr>
        <w:t xml:space="preserve"> </w:t>
      </w:r>
      <w:r w:rsidR="00114569" w:rsidRPr="00114569">
        <w:rPr>
          <w:rFonts w:asciiTheme="minorHAnsi" w:eastAsiaTheme="minorHAnsi" w:hAnsiTheme="minorHAnsi" w:cstheme="minorHAnsi"/>
          <w:sz w:val="22"/>
          <w:szCs w:val="22"/>
          <w:lang w:eastAsia="en-US"/>
        </w:rPr>
        <w:t>will not provide a severance payment under this Policy where an Employee rejects an offer of alternative employment made by another employer if:</w:t>
      </w:r>
    </w:p>
    <w:p w14:paraId="2EA9782A" w14:textId="05EA77BB" w:rsidR="00114569" w:rsidRPr="00114569" w:rsidRDefault="00114569" w:rsidP="00A37F10">
      <w:pPr>
        <w:pStyle w:val="BodyText"/>
        <w:ind w:left="720" w:hanging="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lastRenderedPageBreak/>
        <w:t>a)</w:t>
      </w:r>
      <w:r w:rsidRPr="00114569">
        <w:rPr>
          <w:rFonts w:asciiTheme="minorHAnsi" w:eastAsiaTheme="minorHAnsi" w:hAnsiTheme="minorHAnsi" w:cstheme="minorHAnsi"/>
          <w:sz w:val="22"/>
          <w:szCs w:val="22"/>
          <w:lang w:eastAsia="en-US"/>
        </w:rPr>
        <w:tab/>
        <w:t xml:space="preserve">the terms and conditions of employment offered are substantially </w:t>
      </w:r>
      <w:proofErr w:type="gramStart"/>
      <w:r w:rsidRPr="00114569">
        <w:rPr>
          <w:rFonts w:asciiTheme="minorHAnsi" w:eastAsiaTheme="minorHAnsi" w:hAnsiTheme="minorHAnsi" w:cstheme="minorHAnsi"/>
          <w:sz w:val="22"/>
          <w:szCs w:val="22"/>
          <w:lang w:eastAsia="en-US"/>
        </w:rPr>
        <w:t>similar to</w:t>
      </w:r>
      <w:proofErr w:type="gramEnd"/>
      <w:r w:rsidRPr="00114569">
        <w:rPr>
          <w:rFonts w:asciiTheme="minorHAnsi" w:eastAsiaTheme="minorHAnsi" w:hAnsiTheme="minorHAnsi" w:cstheme="minorHAnsi"/>
          <w:sz w:val="22"/>
          <w:szCs w:val="22"/>
          <w:lang w:eastAsia="en-US"/>
        </w:rPr>
        <w:t xml:space="preserve">, and considered on an overall basis, no less favourable than the Employee’s terms and conditions of employment </w:t>
      </w:r>
      <w:r w:rsidR="00A37F10">
        <w:rPr>
          <w:rFonts w:asciiTheme="minorHAnsi" w:eastAsiaTheme="minorHAnsi" w:hAnsiTheme="minorHAnsi" w:cstheme="minorHAnsi"/>
          <w:sz w:val="22"/>
          <w:szCs w:val="22"/>
          <w:lang w:eastAsia="en-US"/>
        </w:rPr>
        <w:t xml:space="preserve">with </w:t>
      </w:r>
      <w:r w:rsidR="008408EF">
        <w:rPr>
          <w:rFonts w:asciiTheme="minorHAnsi" w:eastAsiaTheme="minorHAnsi" w:hAnsiTheme="minorHAnsi" w:cstheme="minorHAnsi"/>
          <w:sz w:val="22"/>
          <w:szCs w:val="22"/>
          <w:highlight w:val="yellow"/>
          <w:lang w:eastAsia="en-US"/>
        </w:rPr>
        <w:t>O</w:t>
      </w:r>
      <w:r w:rsidR="00A37F10" w:rsidRPr="00A37F10">
        <w:rPr>
          <w:rFonts w:asciiTheme="minorHAnsi" w:eastAsiaTheme="minorHAnsi" w:hAnsiTheme="minorHAnsi" w:cstheme="minorHAnsi"/>
          <w:sz w:val="22"/>
          <w:szCs w:val="22"/>
          <w:highlight w:val="yellow"/>
          <w:lang w:eastAsia="en-US"/>
        </w:rPr>
        <w:t>rganisation name</w:t>
      </w:r>
      <w:r w:rsidRPr="00114569">
        <w:rPr>
          <w:rFonts w:asciiTheme="minorHAnsi" w:eastAsiaTheme="minorHAnsi" w:hAnsiTheme="minorHAnsi" w:cstheme="minorHAnsi"/>
          <w:sz w:val="22"/>
          <w:szCs w:val="22"/>
          <w:lang w:eastAsia="en-US"/>
        </w:rPr>
        <w:t xml:space="preserve"> immediately before the termination; and</w:t>
      </w:r>
    </w:p>
    <w:p w14:paraId="3673AB31" w14:textId="09F48CFA" w:rsidR="00114569" w:rsidRPr="00114569" w:rsidRDefault="00114569" w:rsidP="00A37F10">
      <w:pPr>
        <w:pStyle w:val="BodyText"/>
        <w:ind w:left="720" w:hanging="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b)</w:t>
      </w:r>
      <w:r w:rsidRPr="00114569">
        <w:rPr>
          <w:rFonts w:asciiTheme="minorHAnsi" w:eastAsiaTheme="minorHAnsi" w:hAnsiTheme="minorHAnsi" w:cstheme="minorHAnsi"/>
          <w:sz w:val="22"/>
          <w:szCs w:val="22"/>
          <w:lang w:eastAsia="en-US"/>
        </w:rPr>
        <w:tab/>
        <w:t xml:space="preserve">continuous service with </w:t>
      </w:r>
      <w:r w:rsidR="008408EF">
        <w:rPr>
          <w:rFonts w:asciiTheme="minorHAnsi" w:eastAsiaTheme="minorHAnsi" w:hAnsiTheme="minorHAnsi" w:cstheme="minorHAnsi"/>
          <w:sz w:val="22"/>
          <w:szCs w:val="22"/>
          <w:highlight w:val="yellow"/>
          <w:lang w:eastAsia="en-US"/>
        </w:rPr>
        <w:t>O</w:t>
      </w:r>
      <w:r w:rsidR="00A37F10" w:rsidRPr="00A37F10">
        <w:rPr>
          <w:rFonts w:asciiTheme="minorHAnsi" w:eastAsiaTheme="minorHAnsi" w:hAnsiTheme="minorHAnsi" w:cstheme="minorHAnsi"/>
          <w:sz w:val="22"/>
          <w:szCs w:val="22"/>
          <w:highlight w:val="yellow"/>
          <w:lang w:eastAsia="en-US"/>
        </w:rPr>
        <w:t>rganisation name</w:t>
      </w:r>
      <w:r w:rsidR="00A37F10">
        <w:rPr>
          <w:rFonts w:asciiTheme="minorHAnsi" w:eastAsiaTheme="minorHAnsi" w:hAnsiTheme="minorHAnsi" w:cstheme="minorHAnsi"/>
          <w:sz w:val="22"/>
          <w:szCs w:val="22"/>
          <w:lang w:eastAsia="en-US"/>
        </w:rPr>
        <w:t xml:space="preserve"> </w:t>
      </w:r>
      <w:r w:rsidRPr="00114569">
        <w:rPr>
          <w:rFonts w:asciiTheme="minorHAnsi" w:eastAsiaTheme="minorHAnsi" w:hAnsiTheme="minorHAnsi" w:cstheme="minorHAnsi"/>
          <w:sz w:val="22"/>
          <w:szCs w:val="22"/>
          <w:lang w:eastAsia="en-US"/>
        </w:rPr>
        <w:t>would have been recognised in the Alternative Employment; and</w:t>
      </w:r>
    </w:p>
    <w:p w14:paraId="28399EA3" w14:textId="21D77F05" w:rsidR="00114569" w:rsidRPr="00114569" w:rsidRDefault="00114569" w:rsidP="0018171E">
      <w:pPr>
        <w:pStyle w:val="BodyText"/>
        <w:ind w:left="720" w:hanging="720"/>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c)</w:t>
      </w:r>
      <w:r w:rsidRPr="00114569">
        <w:rPr>
          <w:rFonts w:asciiTheme="minorHAnsi" w:eastAsiaTheme="minorHAnsi" w:hAnsiTheme="minorHAnsi" w:cstheme="minorHAnsi"/>
          <w:sz w:val="22"/>
          <w:szCs w:val="22"/>
          <w:lang w:eastAsia="en-US"/>
        </w:rPr>
        <w:tab/>
        <w:t>had the Employee accepted the Alternative Employment, there would have been a transfer of employment in relation to the Employee.</w:t>
      </w:r>
    </w:p>
    <w:p w14:paraId="458794A1" w14:textId="4D53E94F" w:rsidR="00114569" w:rsidRPr="00114569" w:rsidRDefault="00114569" w:rsidP="00A37F10">
      <w:pPr>
        <w:pStyle w:val="Heading3"/>
        <w:rPr>
          <w:rFonts w:eastAsiaTheme="minorHAnsi"/>
          <w:lang w:eastAsia="en-US"/>
        </w:rPr>
      </w:pPr>
      <w:r w:rsidRPr="00114569">
        <w:rPr>
          <w:rFonts w:eastAsiaTheme="minorHAnsi"/>
          <w:lang w:eastAsia="en-US"/>
        </w:rPr>
        <w:t xml:space="preserve">Severance </w:t>
      </w:r>
      <w:r w:rsidR="00A37F10">
        <w:rPr>
          <w:rFonts w:eastAsiaTheme="minorHAnsi"/>
          <w:lang w:eastAsia="en-US"/>
        </w:rPr>
        <w:t>P</w:t>
      </w:r>
      <w:r w:rsidRPr="00114569">
        <w:rPr>
          <w:rFonts w:eastAsiaTheme="minorHAnsi"/>
          <w:lang w:eastAsia="en-US"/>
        </w:rPr>
        <w:t>ay</w:t>
      </w:r>
    </w:p>
    <w:p w14:paraId="0DE5EA83" w14:textId="633094DE" w:rsid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An Employee who is redundant, will be entitled to severance pay in accordance with the following scale</w:t>
      </w:r>
      <w:r w:rsidR="00A37F10">
        <w:rPr>
          <w:rFonts w:asciiTheme="minorHAnsi" w:eastAsiaTheme="minorHAnsi" w:hAnsiTheme="minorHAnsi" w:cstheme="minorHAnsi"/>
          <w:sz w:val="22"/>
          <w:szCs w:val="22"/>
          <w:lang w:eastAsia="en-US"/>
        </w:rPr>
        <w:t xml:space="preserve">. This scale is intended to reflect an employee’s entitlement to severance pay under the National Employment Standards in the Fair Work Act 2009. Should this be amended, the National Employment Standards will be referenced to determine the applicable entitlement. </w:t>
      </w:r>
    </w:p>
    <w:tbl>
      <w:tblPr>
        <w:tblStyle w:val="PrimaryTable"/>
        <w:tblW w:w="0" w:type="auto"/>
        <w:tblLook w:val="04A0" w:firstRow="1" w:lastRow="0" w:firstColumn="1" w:lastColumn="0" w:noHBand="0" w:noVBand="1"/>
      </w:tblPr>
      <w:tblGrid>
        <w:gridCol w:w="4393"/>
        <w:gridCol w:w="4394"/>
      </w:tblGrid>
      <w:tr w:rsidR="00A37F10" w14:paraId="2C472D00" w14:textId="77777777" w:rsidTr="00A37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2018F0A3" w14:textId="2C192B87"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Length of Continuous Service</w:t>
            </w:r>
          </w:p>
        </w:tc>
        <w:tc>
          <w:tcPr>
            <w:tcW w:w="4394" w:type="dxa"/>
          </w:tcPr>
          <w:p w14:paraId="77D472DB" w14:textId="0DEE1E39" w:rsidR="00A37F10" w:rsidRDefault="00A37F10" w:rsidP="00114569">
            <w:pPr>
              <w:pStyle w:val="BodyText"/>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Severance Pay</w:t>
            </w:r>
          </w:p>
        </w:tc>
      </w:tr>
      <w:tr w:rsidR="00A37F10" w14:paraId="354DFDDE" w14:textId="77777777" w:rsidTr="00A37F10">
        <w:tc>
          <w:tcPr>
            <w:cnfStyle w:val="001000000000" w:firstRow="0" w:lastRow="0" w:firstColumn="1" w:lastColumn="0" w:oddVBand="0" w:evenVBand="0" w:oddHBand="0" w:evenHBand="0" w:firstRowFirstColumn="0" w:firstRowLastColumn="0" w:lastRowFirstColumn="0" w:lastRowLastColumn="0"/>
            <w:tcW w:w="4393" w:type="dxa"/>
          </w:tcPr>
          <w:p w14:paraId="79FA5E47" w14:textId="0AF3E318"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Less than one year</w:t>
            </w:r>
          </w:p>
        </w:tc>
        <w:tc>
          <w:tcPr>
            <w:tcW w:w="4394" w:type="dxa"/>
          </w:tcPr>
          <w:p w14:paraId="14FFD2FD" w14:textId="53EC4A8F" w:rsidR="00A37F10" w:rsidRDefault="00A37F10" w:rsidP="00114569">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Nil</w:t>
            </w:r>
          </w:p>
        </w:tc>
      </w:tr>
      <w:tr w:rsidR="00A37F10" w14:paraId="02BE4CAB" w14:textId="77777777" w:rsidTr="00A37F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0E94708A" w14:textId="426D75A9"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 year and less than 2 years</w:t>
            </w:r>
          </w:p>
        </w:tc>
        <w:tc>
          <w:tcPr>
            <w:tcW w:w="4394" w:type="dxa"/>
          </w:tcPr>
          <w:p w14:paraId="6FAE09E3" w14:textId="5A8CF6CD" w:rsidR="00A37F10" w:rsidRDefault="00A37F10" w:rsidP="00114569">
            <w:pPr>
              <w:pStyle w:val="BodyTex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 weeks</w:t>
            </w:r>
          </w:p>
        </w:tc>
      </w:tr>
      <w:tr w:rsidR="00A37F10" w14:paraId="7920E8D7" w14:textId="77777777" w:rsidTr="00A37F10">
        <w:tc>
          <w:tcPr>
            <w:cnfStyle w:val="001000000000" w:firstRow="0" w:lastRow="0" w:firstColumn="1" w:lastColumn="0" w:oddVBand="0" w:evenVBand="0" w:oddHBand="0" w:evenHBand="0" w:firstRowFirstColumn="0" w:firstRowLastColumn="0" w:lastRowFirstColumn="0" w:lastRowLastColumn="0"/>
            <w:tcW w:w="4393" w:type="dxa"/>
          </w:tcPr>
          <w:p w14:paraId="2ED68138" w14:textId="74B81581"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2 years and less than 3 years</w:t>
            </w:r>
          </w:p>
        </w:tc>
        <w:tc>
          <w:tcPr>
            <w:tcW w:w="4394" w:type="dxa"/>
          </w:tcPr>
          <w:p w14:paraId="76280A52" w14:textId="1B618FF1" w:rsidR="00A37F10" w:rsidRDefault="00A37F10" w:rsidP="00114569">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6 weeks </w:t>
            </w:r>
          </w:p>
        </w:tc>
      </w:tr>
      <w:tr w:rsidR="00A37F10" w14:paraId="13153A24" w14:textId="77777777" w:rsidTr="00A37F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44ED8EBF" w14:textId="0EE5CF56"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3 years and less than 4 years</w:t>
            </w:r>
          </w:p>
        </w:tc>
        <w:tc>
          <w:tcPr>
            <w:tcW w:w="4394" w:type="dxa"/>
          </w:tcPr>
          <w:p w14:paraId="688A0CAD" w14:textId="24764792" w:rsidR="00A37F10" w:rsidRDefault="00A37F10" w:rsidP="00114569">
            <w:pPr>
              <w:pStyle w:val="BodyTex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7 weeks</w:t>
            </w:r>
          </w:p>
        </w:tc>
      </w:tr>
      <w:tr w:rsidR="00A37F10" w14:paraId="45A85E79" w14:textId="77777777" w:rsidTr="00A37F10">
        <w:tc>
          <w:tcPr>
            <w:cnfStyle w:val="001000000000" w:firstRow="0" w:lastRow="0" w:firstColumn="1" w:lastColumn="0" w:oddVBand="0" w:evenVBand="0" w:oddHBand="0" w:evenHBand="0" w:firstRowFirstColumn="0" w:firstRowLastColumn="0" w:lastRowFirstColumn="0" w:lastRowLastColumn="0"/>
            <w:tcW w:w="4393" w:type="dxa"/>
          </w:tcPr>
          <w:p w14:paraId="1CA7F3CF" w14:textId="23D8EE62"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 years and less than 5 years</w:t>
            </w:r>
          </w:p>
        </w:tc>
        <w:tc>
          <w:tcPr>
            <w:tcW w:w="4394" w:type="dxa"/>
          </w:tcPr>
          <w:p w14:paraId="724113FA" w14:textId="02A8BB7D" w:rsidR="00A37F10" w:rsidRDefault="00A37F10" w:rsidP="00114569">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8 weeks</w:t>
            </w:r>
          </w:p>
        </w:tc>
      </w:tr>
      <w:tr w:rsidR="00A37F10" w14:paraId="70DE6799" w14:textId="77777777" w:rsidTr="00A37F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37F65E49" w14:textId="62C8921C"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5 years and less than 6 years</w:t>
            </w:r>
          </w:p>
        </w:tc>
        <w:tc>
          <w:tcPr>
            <w:tcW w:w="4394" w:type="dxa"/>
          </w:tcPr>
          <w:p w14:paraId="018BF263" w14:textId="7B7739B3" w:rsidR="00A37F10" w:rsidRDefault="00A37F10" w:rsidP="00114569">
            <w:pPr>
              <w:pStyle w:val="BodyTex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10 weeks</w:t>
            </w:r>
          </w:p>
        </w:tc>
      </w:tr>
      <w:tr w:rsidR="00A37F10" w14:paraId="6A3592C3" w14:textId="77777777" w:rsidTr="00A37F10">
        <w:tc>
          <w:tcPr>
            <w:cnfStyle w:val="001000000000" w:firstRow="0" w:lastRow="0" w:firstColumn="1" w:lastColumn="0" w:oddVBand="0" w:evenVBand="0" w:oddHBand="0" w:evenHBand="0" w:firstRowFirstColumn="0" w:firstRowLastColumn="0" w:lastRowFirstColumn="0" w:lastRowLastColumn="0"/>
            <w:tcW w:w="4393" w:type="dxa"/>
          </w:tcPr>
          <w:p w14:paraId="112B969D" w14:textId="37B8C975"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6 years and less than 7 years</w:t>
            </w:r>
          </w:p>
        </w:tc>
        <w:tc>
          <w:tcPr>
            <w:tcW w:w="4394" w:type="dxa"/>
          </w:tcPr>
          <w:p w14:paraId="503DB42A" w14:textId="67A0648C" w:rsidR="00A37F10" w:rsidRDefault="00A37F10" w:rsidP="00114569">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11 weeks</w:t>
            </w:r>
          </w:p>
        </w:tc>
      </w:tr>
      <w:tr w:rsidR="00A37F10" w14:paraId="57A92D9A" w14:textId="77777777" w:rsidTr="00A37F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35002856" w14:textId="0CDC409D"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7 years and less than 8 years</w:t>
            </w:r>
          </w:p>
        </w:tc>
        <w:tc>
          <w:tcPr>
            <w:tcW w:w="4394" w:type="dxa"/>
          </w:tcPr>
          <w:p w14:paraId="62184202" w14:textId="772E4986" w:rsidR="00A37F10" w:rsidRDefault="00A37F10" w:rsidP="00114569">
            <w:pPr>
              <w:pStyle w:val="BodyTex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13 weeks</w:t>
            </w:r>
          </w:p>
        </w:tc>
      </w:tr>
      <w:tr w:rsidR="00A37F10" w14:paraId="3C7FA4A2" w14:textId="77777777" w:rsidTr="00A37F10">
        <w:tc>
          <w:tcPr>
            <w:cnfStyle w:val="001000000000" w:firstRow="0" w:lastRow="0" w:firstColumn="1" w:lastColumn="0" w:oddVBand="0" w:evenVBand="0" w:oddHBand="0" w:evenHBand="0" w:firstRowFirstColumn="0" w:firstRowLastColumn="0" w:lastRowFirstColumn="0" w:lastRowLastColumn="0"/>
            <w:tcW w:w="4393" w:type="dxa"/>
          </w:tcPr>
          <w:p w14:paraId="53A3D674" w14:textId="167CF7E2"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8 years and less than 9 years</w:t>
            </w:r>
          </w:p>
        </w:tc>
        <w:tc>
          <w:tcPr>
            <w:tcW w:w="4394" w:type="dxa"/>
          </w:tcPr>
          <w:p w14:paraId="4F66F988" w14:textId="3221D719" w:rsidR="00A37F10" w:rsidRDefault="00A37F10" w:rsidP="00114569">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14 weeks</w:t>
            </w:r>
          </w:p>
        </w:tc>
      </w:tr>
      <w:tr w:rsidR="00A37F10" w14:paraId="105DE812" w14:textId="77777777" w:rsidTr="00A37F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3" w:type="dxa"/>
          </w:tcPr>
          <w:p w14:paraId="0D9358E5" w14:textId="0DA14849"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9 years and less than 10 years</w:t>
            </w:r>
          </w:p>
        </w:tc>
        <w:tc>
          <w:tcPr>
            <w:tcW w:w="4394" w:type="dxa"/>
          </w:tcPr>
          <w:p w14:paraId="68C60941" w14:textId="08B171F1" w:rsidR="00A37F10" w:rsidRDefault="00A37F10" w:rsidP="00114569">
            <w:pPr>
              <w:pStyle w:val="BodyTex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16 weeks</w:t>
            </w:r>
          </w:p>
        </w:tc>
      </w:tr>
      <w:tr w:rsidR="00A37F10" w14:paraId="7658E08D" w14:textId="77777777" w:rsidTr="00A37F10">
        <w:tc>
          <w:tcPr>
            <w:cnfStyle w:val="001000000000" w:firstRow="0" w:lastRow="0" w:firstColumn="1" w:lastColumn="0" w:oddVBand="0" w:evenVBand="0" w:oddHBand="0" w:evenHBand="0" w:firstRowFirstColumn="0" w:firstRowLastColumn="0" w:lastRowFirstColumn="0" w:lastRowLastColumn="0"/>
            <w:tcW w:w="4393" w:type="dxa"/>
          </w:tcPr>
          <w:p w14:paraId="5B69C470" w14:textId="0565A0F2" w:rsidR="00A37F10" w:rsidRDefault="00A37F10" w:rsidP="00114569">
            <w:pPr>
              <w:pStyle w:val="BodyTex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10 years and over</w:t>
            </w:r>
          </w:p>
        </w:tc>
        <w:tc>
          <w:tcPr>
            <w:tcW w:w="4394" w:type="dxa"/>
          </w:tcPr>
          <w:p w14:paraId="03A1EEF5" w14:textId="20299184" w:rsidR="00A37F10" w:rsidRDefault="00A37F10" w:rsidP="00114569">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12 weeks</w:t>
            </w:r>
          </w:p>
        </w:tc>
      </w:tr>
    </w:tbl>
    <w:p w14:paraId="178D64F3" w14:textId="77777777" w:rsidR="00114569" w:rsidRPr="00114569" w:rsidRDefault="00114569" w:rsidP="00114569">
      <w:pPr>
        <w:pStyle w:val="BodyText"/>
        <w:rPr>
          <w:rFonts w:asciiTheme="minorHAnsi" w:eastAsiaTheme="minorHAnsi" w:hAnsiTheme="minorHAnsi" w:cstheme="minorHAnsi"/>
          <w:sz w:val="22"/>
          <w:szCs w:val="22"/>
          <w:lang w:eastAsia="en-US"/>
        </w:rPr>
      </w:pPr>
    </w:p>
    <w:p w14:paraId="5FC2C2E5" w14:textId="42103F12"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 xml:space="preserve">*If the terms and conditions of employment that applied to an Employee’s employment with </w:t>
      </w:r>
      <w:r w:rsidR="008408EF">
        <w:rPr>
          <w:rFonts w:asciiTheme="minorHAnsi" w:eastAsiaTheme="minorHAnsi" w:hAnsiTheme="minorHAnsi" w:cstheme="minorHAnsi"/>
          <w:sz w:val="22"/>
          <w:szCs w:val="22"/>
          <w:highlight w:val="yellow"/>
          <w:lang w:eastAsia="en-US"/>
        </w:rPr>
        <w:t>O</w:t>
      </w:r>
      <w:r w:rsidR="00970D1C" w:rsidRPr="00A37F10">
        <w:rPr>
          <w:rFonts w:asciiTheme="minorHAnsi" w:eastAsiaTheme="minorHAnsi" w:hAnsiTheme="minorHAnsi" w:cstheme="minorHAnsi"/>
          <w:sz w:val="22"/>
          <w:szCs w:val="22"/>
          <w:highlight w:val="yellow"/>
          <w:lang w:eastAsia="en-US"/>
        </w:rPr>
        <w:t>rganisation name</w:t>
      </w:r>
      <w:r w:rsidR="00970D1C">
        <w:rPr>
          <w:rFonts w:asciiTheme="minorHAnsi" w:eastAsiaTheme="minorHAnsi" w:hAnsiTheme="minorHAnsi" w:cstheme="minorHAnsi"/>
          <w:sz w:val="22"/>
          <w:szCs w:val="22"/>
          <w:lang w:eastAsia="en-US"/>
        </w:rPr>
        <w:t xml:space="preserve"> </w:t>
      </w:r>
      <w:r w:rsidRPr="00114569">
        <w:rPr>
          <w:rFonts w:asciiTheme="minorHAnsi" w:eastAsiaTheme="minorHAnsi" w:hAnsiTheme="minorHAnsi" w:cstheme="minorHAnsi"/>
          <w:sz w:val="22"/>
          <w:szCs w:val="22"/>
          <w:lang w:eastAsia="en-US"/>
        </w:rPr>
        <w:t xml:space="preserve">contained no entitlement to redundancy pay as </w:t>
      </w:r>
      <w:proofErr w:type="gramStart"/>
      <w:r w:rsidRPr="00114569">
        <w:rPr>
          <w:rFonts w:asciiTheme="minorHAnsi" w:eastAsiaTheme="minorHAnsi" w:hAnsiTheme="minorHAnsi" w:cstheme="minorHAnsi"/>
          <w:sz w:val="22"/>
          <w:szCs w:val="22"/>
          <w:lang w:eastAsia="en-US"/>
        </w:rPr>
        <w:t>at</w:t>
      </w:r>
      <w:proofErr w:type="gramEnd"/>
      <w:r w:rsidRPr="00114569">
        <w:rPr>
          <w:rFonts w:asciiTheme="minorHAnsi" w:eastAsiaTheme="minorHAnsi" w:hAnsiTheme="minorHAnsi" w:cstheme="minorHAnsi"/>
          <w:sz w:val="22"/>
          <w:szCs w:val="22"/>
          <w:lang w:eastAsia="en-US"/>
        </w:rPr>
        <w:t xml:space="preserve"> 31 December 2009, then continuous service for the purpose of calculating severance pay under this Policy begins to accrue on or after 1 January 2010.</w:t>
      </w:r>
    </w:p>
    <w:p w14:paraId="4DBBAC5F" w14:textId="77777777" w:rsidR="00114569" w:rsidRPr="00114569" w:rsidRDefault="00114569" w:rsidP="00970D1C">
      <w:pPr>
        <w:pStyle w:val="Heading3"/>
        <w:rPr>
          <w:rFonts w:eastAsiaTheme="minorHAnsi"/>
          <w:lang w:eastAsia="en-US"/>
        </w:rPr>
      </w:pPr>
      <w:r w:rsidRPr="00114569">
        <w:rPr>
          <w:rFonts w:eastAsiaTheme="minorHAnsi"/>
          <w:lang w:eastAsia="en-US"/>
        </w:rPr>
        <w:lastRenderedPageBreak/>
        <w:t>Notification to Centrelink</w:t>
      </w:r>
    </w:p>
    <w:p w14:paraId="66EC9170" w14:textId="1C4973DD"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 xml:space="preserve">Where </w:t>
      </w:r>
      <w:r w:rsidR="008408EF">
        <w:rPr>
          <w:rFonts w:asciiTheme="minorHAnsi" w:eastAsiaTheme="minorHAnsi" w:hAnsiTheme="minorHAnsi" w:cstheme="minorHAnsi"/>
          <w:sz w:val="22"/>
          <w:szCs w:val="22"/>
          <w:highlight w:val="yellow"/>
          <w:lang w:eastAsia="en-US"/>
        </w:rPr>
        <w:t>O</w:t>
      </w:r>
      <w:r w:rsidR="00970D1C" w:rsidRPr="00A37F10">
        <w:rPr>
          <w:rFonts w:asciiTheme="minorHAnsi" w:eastAsiaTheme="minorHAnsi" w:hAnsiTheme="minorHAnsi" w:cstheme="minorHAnsi"/>
          <w:sz w:val="22"/>
          <w:szCs w:val="22"/>
          <w:highlight w:val="yellow"/>
          <w:lang w:eastAsia="en-US"/>
        </w:rPr>
        <w:t>rganisation name</w:t>
      </w:r>
      <w:r w:rsidR="00970D1C">
        <w:rPr>
          <w:rFonts w:asciiTheme="minorHAnsi" w:eastAsiaTheme="minorHAnsi" w:hAnsiTheme="minorHAnsi" w:cstheme="minorHAnsi"/>
          <w:sz w:val="22"/>
          <w:szCs w:val="22"/>
          <w:lang w:eastAsia="en-US"/>
        </w:rPr>
        <w:t xml:space="preserve"> </w:t>
      </w:r>
      <w:r w:rsidRPr="00114569">
        <w:rPr>
          <w:rFonts w:asciiTheme="minorHAnsi" w:eastAsiaTheme="minorHAnsi" w:hAnsiTheme="minorHAnsi" w:cstheme="minorHAnsi"/>
          <w:sz w:val="22"/>
          <w:szCs w:val="22"/>
          <w:lang w:eastAsia="en-US"/>
        </w:rPr>
        <w:t>terminates the employment of more than 15 Employees, it must provide appropriate documentation to Centrelink.</w:t>
      </w:r>
    </w:p>
    <w:p w14:paraId="047EB465" w14:textId="0821E872" w:rsidR="00114569" w:rsidRPr="00970D1C" w:rsidRDefault="00114569" w:rsidP="00970D1C">
      <w:pPr>
        <w:pStyle w:val="Heading3"/>
        <w:rPr>
          <w:rFonts w:eastAsiaTheme="minorHAnsi"/>
          <w:lang w:eastAsia="en-US"/>
        </w:rPr>
      </w:pPr>
      <w:r w:rsidRPr="00114569">
        <w:rPr>
          <w:rFonts w:eastAsiaTheme="minorHAnsi"/>
          <w:lang w:eastAsia="en-US"/>
        </w:rPr>
        <w:t>Certificate of service and separation certificate</w:t>
      </w:r>
    </w:p>
    <w:p w14:paraId="74563529" w14:textId="17DF0BB9"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 xml:space="preserve">A certificate of service is available to Employees upon their request. A certificate of service will outline an </w:t>
      </w:r>
      <w:proofErr w:type="gramStart"/>
      <w:r w:rsidRPr="00114569">
        <w:rPr>
          <w:rFonts w:asciiTheme="minorHAnsi" w:eastAsiaTheme="minorHAnsi" w:hAnsiTheme="minorHAnsi" w:cstheme="minorHAnsi"/>
          <w:sz w:val="22"/>
          <w:szCs w:val="22"/>
          <w:lang w:eastAsia="en-US"/>
        </w:rPr>
        <w:t>Employee's</w:t>
      </w:r>
      <w:proofErr w:type="gramEnd"/>
      <w:r w:rsidRPr="00114569">
        <w:rPr>
          <w:rFonts w:asciiTheme="minorHAnsi" w:eastAsiaTheme="minorHAnsi" w:hAnsiTheme="minorHAnsi" w:cstheme="minorHAnsi"/>
          <w:sz w:val="22"/>
          <w:szCs w:val="22"/>
          <w:lang w:eastAsia="en-US"/>
        </w:rPr>
        <w:t xml:space="preserve"> length of service and the positions held by the Employee during the employment. </w:t>
      </w:r>
    </w:p>
    <w:p w14:paraId="4FA446CB" w14:textId="03FFC72C"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On termination of employment,</w:t>
      </w:r>
      <w:r w:rsidR="00970D1C">
        <w:rPr>
          <w:rFonts w:asciiTheme="minorHAnsi" w:eastAsiaTheme="minorHAnsi" w:hAnsiTheme="minorHAnsi" w:cstheme="minorHAnsi"/>
          <w:sz w:val="22"/>
          <w:szCs w:val="22"/>
          <w:lang w:eastAsia="en-US"/>
        </w:rPr>
        <w:t xml:space="preserve"> </w:t>
      </w:r>
      <w:r w:rsidR="008408EF">
        <w:rPr>
          <w:rFonts w:asciiTheme="minorHAnsi" w:eastAsiaTheme="minorHAnsi" w:hAnsiTheme="minorHAnsi" w:cstheme="minorHAnsi"/>
          <w:sz w:val="22"/>
          <w:szCs w:val="22"/>
          <w:highlight w:val="yellow"/>
          <w:lang w:eastAsia="en-US"/>
        </w:rPr>
        <w:t>O</w:t>
      </w:r>
      <w:r w:rsidR="00970D1C" w:rsidRPr="00A37F10">
        <w:rPr>
          <w:rFonts w:asciiTheme="minorHAnsi" w:eastAsiaTheme="minorHAnsi" w:hAnsiTheme="minorHAnsi" w:cstheme="minorHAnsi"/>
          <w:sz w:val="22"/>
          <w:szCs w:val="22"/>
          <w:highlight w:val="yellow"/>
          <w:lang w:eastAsia="en-US"/>
        </w:rPr>
        <w:t>rganisation name</w:t>
      </w:r>
      <w:r w:rsidR="00970D1C">
        <w:rPr>
          <w:rFonts w:asciiTheme="minorHAnsi" w:eastAsiaTheme="minorHAnsi" w:hAnsiTheme="minorHAnsi" w:cstheme="minorHAnsi"/>
          <w:sz w:val="22"/>
          <w:szCs w:val="22"/>
          <w:lang w:eastAsia="en-US"/>
        </w:rPr>
        <w:t xml:space="preserve"> </w:t>
      </w:r>
      <w:r w:rsidRPr="00114569">
        <w:rPr>
          <w:rFonts w:asciiTheme="minorHAnsi" w:eastAsiaTheme="minorHAnsi" w:hAnsiTheme="minorHAnsi" w:cstheme="minorHAnsi"/>
          <w:sz w:val="22"/>
          <w:szCs w:val="22"/>
          <w:lang w:eastAsia="en-US"/>
        </w:rPr>
        <w:t>will provide an Employee with an Employment Separation Certificate in the form required by Centrelink.</w:t>
      </w:r>
    </w:p>
    <w:p w14:paraId="6F357980" w14:textId="22ADFF8A" w:rsidR="00114569" w:rsidRPr="00970D1C" w:rsidRDefault="00114569" w:rsidP="00970D1C">
      <w:pPr>
        <w:pStyle w:val="Heading3"/>
        <w:rPr>
          <w:rFonts w:eastAsiaTheme="minorHAnsi"/>
          <w:lang w:eastAsia="en-US"/>
        </w:rPr>
      </w:pPr>
      <w:r w:rsidRPr="00114569">
        <w:rPr>
          <w:rFonts w:eastAsiaTheme="minorHAnsi"/>
          <w:lang w:eastAsia="en-US"/>
        </w:rPr>
        <w:t>Other payments</w:t>
      </w:r>
    </w:p>
    <w:p w14:paraId="71830714" w14:textId="77777777" w:rsidR="00114569" w:rsidRPr="00114569" w:rsidRDefault="00114569" w:rsidP="00970D1C">
      <w:pPr>
        <w:pStyle w:val="Heading4"/>
        <w:rPr>
          <w:rFonts w:eastAsiaTheme="minorHAnsi"/>
          <w:lang w:eastAsia="en-US"/>
        </w:rPr>
      </w:pPr>
      <w:r w:rsidRPr="00114569">
        <w:rPr>
          <w:rFonts w:eastAsiaTheme="minorHAnsi"/>
          <w:lang w:eastAsia="en-US"/>
        </w:rPr>
        <w:t>Annual leave</w:t>
      </w:r>
    </w:p>
    <w:p w14:paraId="616456EA" w14:textId="083123DC"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Each Employee shall be paid pro rata in lieu of any annual leave accrued but not yet taken as at the date employment terminates, plus any loadings which would otherwise have been paid on that leave.</w:t>
      </w:r>
    </w:p>
    <w:p w14:paraId="61672A6B" w14:textId="77777777" w:rsidR="00114569" w:rsidRPr="00114569" w:rsidRDefault="00114569" w:rsidP="00970D1C">
      <w:pPr>
        <w:pStyle w:val="Heading4"/>
        <w:rPr>
          <w:rFonts w:eastAsiaTheme="minorHAnsi"/>
          <w:lang w:eastAsia="en-US"/>
        </w:rPr>
      </w:pPr>
      <w:r w:rsidRPr="00114569">
        <w:rPr>
          <w:rFonts w:eastAsiaTheme="minorHAnsi"/>
          <w:lang w:eastAsia="en-US"/>
        </w:rPr>
        <w:t>Long Service Leave</w:t>
      </w:r>
    </w:p>
    <w:p w14:paraId="0B3C8B8B" w14:textId="70D64659" w:rsidR="00114569" w:rsidRPr="00114569" w:rsidRDefault="00114569" w:rsidP="00114569">
      <w:pPr>
        <w:pStyle w:val="BodyText"/>
        <w:rPr>
          <w:rFonts w:asciiTheme="minorHAnsi" w:eastAsiaTheme="minorHAnsi" w:hAnsiTheme="minorHAnsi" w:cstheme="minorHAnsi"/>
          <w:sz w:val="22"/>
          <w:szCs w:val="22"/>
          <w:lang w:eastAsia="en-US"/>
        </w:rPr>
      </w:pPr>
      <w:r w:rsidRPr="00114569">
        <w:rPr>
          <w:rFonts w:asciiTheme="minorHAnsi" w:eastAsiaTheme="minorHAnsi" w:hAnsiTheme="minorHAnsi" w:cstheme="minorHAnsi"/>
          <w:sz w:val="22"/>
          <w:szCs w:val="22"/>
          <w:lang w:eastAsia="en-US"/>
        </w:rPr>
        <w:t xml:space="preserve">Employees will be paid long service leave in accordance with the relevant </w:t>
      </w:r>
      <w:r w:rsidR="00970D1C">
        <w:rPr>
          <w:rFonts w:asciiTheme="minorHAnsi" w:eastAsiaTheme="minorHAnsi" w:hAnsiTheme="minorHAnsi" w:cstheme="minorHAnsi"/>
          <w:sz w:val="22"/>
          <w:szCs w:val="22"/>
          <w:lang w:eastAsia="en-US"/>
        </w:rPr>
        <w:t xml:space="preserve">state based </w:t>
      </w:r>
      <w:r w:rsidRPr="00114569">
        <w:rPr>
          <w:rFonts w:asciiTheme="minorHAnsi" w:eastAsiaTheme="minorHAnsi" w:hAnsiTheme="minorHAnsi" w:cstheme="minorHAnsi"/>
          <w:sz w:val="22"/>
          <w:szCs w:val="22"/>
          <w:lang w:eastAsia="en-US"/>
        </w:rPr>
        <w:t>legislation.</w:t>
      </w:r>
    </w:p>
    <w:bookmarkEnd w:id="0"/>
    <w:p w14:paraId="03724E7B" w14:textId="6EE9E6F4" w:rsidR="008E6AC1" w:rsidRPr="00404C7A" w:rsidRDefault="008E6AC1" w:rsidP="00546653">
      <w:pPr>
        <w:pStyle w:val="Heading3"/>
        <w:jc w:val="both"/>
        <w:rPr>
          <w:sz w:val="36"/>
          <w:szCs w:val="36"/>
          <w:lang w:val="en-GB" w:eastAsia="en-US"/>
        </w:rPr>
      </w:pPr>
      <w:r w:rsidRPr="00404C7A">
        <w:rPr>
          <w:sz w:val="36"/>
          <w:szCs w:val="36"/>
          <w:lang w:val="en-GB" w:eastAsia="en-US"/>
        </w:rPr>
        <w:t>Questions</w:t>
      </w:r>
    </w:p>
    <w:p w14:paraId="1E4E067E" w14:textId="064CC766" w:rsidR="008E6AC1" w:rsidRDefault="008E6AC1" w:rsidP="00546653">
      <w:pPr>
        <w:pStyle w:val="BodyText"/>
        <w:jc w:val="both"/>
        <w:rPr>
          <w:rFonts w:asciiTheme="minorHAnsi" w:hAnsiTheme="minorHAnsi"/>
          <w:sz w:val="22"/>
          <w:szCs w:val="22"/>
        </w:rPr>
      </w:pPr>
      <w:r w:rsidRPr="00D6592E">
        <w:rPr>
          <w:rFonts w:asciiTheme="minorHAnsi" w:hAnsiTheme="minorHAnsi"/>
          <w:sz w:val="22"/>
          <w:szCs w:val="22"/>
          <w:highlight w:val="yellow"/>
        </w:rPr>
        <w:t>Identify the person or position employees can approach if they have questions about the policy.</w:t>
      </w:r>
    </w:p>
    <w:p w14:paraId="4CB86DD4" w14:textId="33F0BBE4" w:rsidR="00470175" w:rsidRPr="00404C7A" w:rsidRDefault="00470175" w:rsidP="00470175">
      <w:pPr>
        <w:pStyle w:val="Heading3"/>
        <w:jc w:val="both"/>
        <w:rPr>
          <w:rFonts w:asciiTheme="minorHAnsi" w:eastAsiaTheme="minorHAnsi" w:hAnsiTheme="minorHAnsi" w:cstheme="minorHAnsi"/>
          <w:sz w:val="36"/>
          <w:szCs w:val="36"/>
          <w:lang w:val="en-GB" w:eastAsia="en-US"/>
        </w:rPr>
      </w:pPr>
      <w:r w:rsidRPr="00404C7A">
        <w:rPr>
          <w:rFonts w:eastAsiaTheme="minorHAnsi"/>
          <w:sz w:val="36"/>
          <w:szCs w:val="36"/>
          <w:lang w:val="en-GB" w:eastAsia="en-US"/>
        </w:rPr>
        <w:t>Variations</w:t>
      </w:r>
    </w:p>
    <w:p w14:paraId="7D51F3E0" w14:textId="46A0F0B4" w:rsidR="00470175" w:rsidRDefault="00B31ADE" w:rsidP="00546653">
      <w:pPr>
        <w:jc w:val="both"/>
        <w:rPr>
          <w:rFonts w:asciiTheme="minorHAnsi" w:hAnsiTheme="minorHAnsi"/>
          <w:sz w:val="22"/>
          <w:szCs w:val="22"/>
        </w:rPr>
      </w:pPr>
      <w:r w:rsidRPr="00B31ADE">
        <w:rPr>
          <w:rFonts w:asciiTheme="minorHAnsi" w:hAnsiTheme="minorHAnsi"/>
          <w:sz w:val="22"/>
          <w:szCs w:val="22"/>
        </w:rPr>
        <w:t>We reserve the right to vary, replace or terminate the policy from time to time.</w:t>
      </w:r>
    </w:p>
    <w:p w14:paraId="16C87DB9" w14:textId="741E9FD3" w:rsidR="00470175" w:rsidRDefault="00470175" w:rsidP="00470175">
      <w:pPr>
        <w:pStyle w:val="Heading3"/>
        <w:rPr>
          <w:sz w:val="36"/>
          <w:szCs w:val="36"/>
        </w:rPr>
      </w:pPr>
      <w:r w:rsidRPr="00404C7A">
        <w:rPr>
          <w:sz w:val="36"/>
          <w:szCs w:val="36"/>
        </w:rPr>
        <w:t>Employee Acknowledgement</w:t>
      </w:r>
    </w:p>
    <w:p w14:paraId="55E661B4" w14:textId="71ED3512" w:rsidR="00D6592E" w:rsidRPr="00D6592E" w:rsidRDefault="00D6592E" w:rsidP="00D6592E">
      <w:pPr>
        <w:pStyle w:val="BodyText"/>
        <w:rPr>
          <w:rFonts w:asciiTheme="minorHAnsi" w:hAnsiTheme="minorHAnsi" w:cstheme="minorHAnsi"/>
          <w:sz w:val="22"/>
          <w:szCs w:val="22"/>
        </w:rPr>
      </w:pPr>
      <w:r w:rsidRPr="00D6592E">
        <w:rPr>
          <w:rFonts w:asciiTheme="minorHAnsi" w:hAnsiTheme="minorHAnsi" w:cstheme="minorHAnsi"/>
          <w:sz w:val="22"/>
          <w:szCs w:val="22"/>
        </w:rPr>
        <w:t>I agree that I have received and understood the above policy. I agree to comply with all policy requirements. I understand that there may be disciplinary consequences should I fail to comply with the above policy. This may result in the termination of my employment.</w:t>
      </w:r>
    </w:p>
    <w:tbl>
      <w:tblPr>
        <w:tblStyle w:val="PrimaryTable"/>
        <w:tblW w:w="0" w:type="auto"/>
        <w:tblLook w:val="04A0" w:firstRow="1" w:lastRow="0" w:firstColumn="1" w:lastColumn="0" w:noHBand="0" w:noVBand="1"/>
      </w:tblPr>
      <w:tblGrid>
        <w:gridCol w:w="3544"/>
        <w:gridCol w:w="5243"/>
      </w:tblGrid>
      <w:tr w:rsidR="00470175" w:rsidRPr="004834CA" w14:paraId="73F2BAF6" w14:textId="77777777" w:rsidTr="00F51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E97A7F4" w14:textId="27FF51DD"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Name</w:t>
            </w:r>
          </w:p>
        </w:tc>
        <w:tc>
          <w:tcPr>
            <w:tcW w:w="5243" w:type="dxa"/>
            <w:shd w:val="clear" w:color="auto" w:fill="F2F2F2" w:themeFill="background1" w:themeFillShade="F2"/>
          </w:tcPr>
          <w:p w14:paraId="0B1306A6" w14:textId="77777777" w:rsidR="00470175" w:rsidRPr="004834CA" w:rsidRDefault="00470175" w:rsidP="00F51A88">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70175" w:rsidRPr="004834CA" w14:paraId="2D09A1ED" w14:textId="77777777" w:rsidTr="00F51A88">
        <w:tc>
          <w:tcPr>
            <w:cnfStyle w:val="001000000000" w:firstRow="0" w:lastRow="0" w:firstColumn="1" w:lastColumn="0" w:oddVBand="0" w:evenVBand="0" w:oddHBand="0" w:evenHBand="0" w:firstRowFirstColumn="0" w:firstRowLastColumn="0" w:lastRowFirstColumn="0" w:lastRowLastColumn="0"/>
            <w:tcW w:w="3544" w:type="dxa"/>
          </w:tcPr>
          <w:p w14:paraId="41FB5319" w14:textId="0DB519ED"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Signature</w:t>
            </w:r>
          </w:p>
        </w:tc>
        <w:tc>
          <w:tcPr>
            <w:tcW w:w="5243" w:type="dxa"/>
          </w:tcPr>
          <w:p w14:paraId="61AFB6EE" w14:textId="77777777" w:rsidR="00470175" w:rsidRPr="004834CA" w:rsidRDefault="00470175" w:rsidP="00F51A88">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70175" w:rsidRPr="004834CA" w14:paraId="0F22FE18" w14:textId="77777777" w:rsidTr="00F51A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595D64A" w14:textId="43EED89F"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 xml:space="preserve">Date </w:t>
            </w:r>
          </w:p>
        </w:tc>
        <w:tc>
          <w:tcPr>
            <w:tcW w:w="5243" w:type="dxa"/>
          </w:tcPr>
          <w:p w14:paraId="404AC2E1" w14:textId="77777777" w:rsidR="00470175" w:rsidRPr="004834CA" w:rsidRDefault="00470175" w:rsidP="00F51A88">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72002C04" w14:textId="77777777" w:rsidR="00DA0744" w:rsidRPr="00B30717" w:rsidRDefault="00DA0744" w:rsidP="00DA0744">
      <w:pPr>
        <w:pStyle w:val="Heading3"/>
        <w:jc w:val="both"/>
        <w:rPr>
          <w:rFonts w:asciiTheme="minorHAnsi" w:hAnsiTheme="minorHAnsi" w:cstheme="minorHAnsi"/>
          <w:color w:val="auto"/>
        </w:rPr>
      </w:pPr>
      <w:r w:rsidRPr="00B30717">
        <w:rPr>
          <w:rFonts w:asciiTheme="minorHAnsi" w:hAnsiTheme="minorHAnsi" w:cstheme="minorHAnsi"/>
          <w:color w:val="auto"/>
        </w:rPr>
        <w:t>The Policy does not form part of any employee’s contract of employment; nor does it form part of any other workplace participant’s contract for services.</w:t>
      </w:r>
    </w:p>
    <w:p w14:paraId="5CAE87AC" w14:textId="77777777" w:rsidR="00470175" w:rsidRPr="00470175" w:rsidRDefault="00470175" w:rsidP="00404C7A">
      <w:pPr>
        <w:pStyle w:val="BodyText"/>
      </w:pPr>
    </w:p>
    <w:sectPr w:rsidR="00470175" w:rsidRPr="00470175" w:rsidSect="00D6592E">
      <w:headerReference w:type="default" r:id="rId9"/>
      <w:footerReference w:type="default" r:id="rId10"/>
      <w:pgSz w:w="11906" w:h="16838" w:code="9"/>
      <w:pgMar w:top="1701" w:right="1134" w:bottom="993"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A8F7" w14:textId="77777777" w:rsidR="00A204F8" w:rsidRDefault="00A204F8" w:rsidP="00C20C17">
      <w:r>
        <w:separator/>
      </w:r>
    </w:p>
  </w:endnote>
  <w:endnote w:type="continuationSeparator" w:id="0">
    <w:p w14:paraId="14A974AD" w14:textId="77777777" w:rsidR="00A204F8" w:rsidRDefault="00A204F8"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658597EE" w:rsidR="004E1B4D" w:rsidRPr="00420F07" w:rsidRDefault="00114569" w:rsidP="004E1B4D">
          <w:pPr>
            <w:pStyle w:val="Footer"/>
            <w:rPr>
              <w:b/>
              <w:bCs/>
            </w:rPr>
          </w:pPr>
          <w:r>
            <w:rPr>
              <w:b/>
              <w:bCs/>
            </w:rPr>
            <w:t>Redundancy Policy</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E21F" w14:textId="77777777" w:rsidR="00A204F8" w:rsidRDefault="00A204F8" w:rsidP="00C20C17">
      <w:r>
        <w:separator/>
      </w:r>
    </w:p>
  </w:footnote>
  <w:footnote w:type="continuationSeparator" w:id="0">
    <w:p w14:paraId="64523655" w14:textId="77777777" w:rsidR="00A204F8" w:rsidRDefault="00A204F8"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F7341EF"/>
    <w:multiLevelType w:val="multilevel"/>
    <w:tmpl w:val="569050E8"/>
    <w:numStyleLink w:val="ListAppendix"/>
  </w:abstractNum>
  <w:abstractNum w:abstractNumId="7"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42B30489"/>
    <w:multiLevelType w:val="multilevel"/>
    <w:tmpl w:val="F438B886"/>
    <w:numStyleLink w:val="ListNumber"/>
  </w:abstractNum>
  <w:abstractNum w:abstractNumId="16" w15:restartNumberingAfterBreak="0">
    <w:nsid w:val="46FA3A4D"/>
    <w:multiLevelType w:val="multilevel"/>
    <w:tmpl w:val="8D0A5F62"/>
    <w:numStyleLink w:val="ListNbrHeading"/>
  </w:abstractNum>
  <w:abstractNum w:abstractNumId="17"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1"/>
  </w:num>
  <w:num w:numId="4">
    <w:abstractNumId w:val="5"/>
  </w:num>
  <w:num w:numId="5">
    <w:abstractNumId w:val="3"/>
  </w:num>
  <w:num w:numId="6">
    <w:abstractNumId w:val="14"/>
  </w:num>
  <w:num w:numId="7">
    <w:abstractNumId w:val="9"/>
  </w:num>
  <w:num w:numId="8">
    <w:abstractNumId w:val="12"/>
  </w:num>
  <w:num w:numId="9">
    <w:abstractNumId w:val="9"/>
  </w:num>
  <w:num w:numId="10">
    <w:abstractNumId w:val="12"/>
  </w:num>
  <w:num w:numId="11">
    <w:abstractNumId w:val="15"/>
  </w:num>
  <w:num w:numId="12">
    <w:abstractNumId w:val="6"/>
  </w:num>
  <w:num w:numId="13">
    <w:abstractNumId w:val="16"/>
  </w:num>
  <w:num w:numId="14">
    <w:abstractNumId w:val="8"/>
  </w:num>
  <w:num w:numId="15">
    <w:abstractNumId w:val="11"/>
  </w:num>
  <w:num w:numId="16">
    <w:abstractNumId w:val="24"/>
  </w:num>
  <w:num w:numId="17">
    <w:abstractNumId w:val="21"/>
  </w:num>
  <w:num w:numId="18">
    <w:abstractNumId w:val="27"/>
  </w:num>
  <w:num w:numId="19">
    <w:abstractNumId w:val="4"/>
  </w:num>
  <w:num w:numId="20">
    <w:abstractNumId w:val="17"/>
  </w:num>
  <w:num w:numId="21">
    <w:abstractNumId w:val="17"/>
  </w:num>
  <w:num w:numId="22">
    <w:abstractNumId w:val="33"/>
  </w:num>
  <w:num w:numId="23">
    <w:abstractNumId w:val="28"/>
  </w:num>
  <w:num w:numId="24">
    <w:abstractNumId w:val="18"/>
  </w:num>
  <w:num w:numId="25">
    <w:abstractNumId w:val="29"/>
  </w:num>
  <w:num w:numId="26">
    <w:abstractNumId w:val="0"/>
  </w:num>
  <w:num w:numId="27">
    <w:abstractNumId w:val="7"/>
  </w:num>
  <w:num w:numId="28">
    <w:abstractNumId w:val="32"/>
  </w:num>
  <w:num w:numId="29">
    <w:abstractNumId w:val="22"/>
  </w:num>
  <w:num w:numId="30">
    <w:abstractNumId w:val="30"/>
  </w:num>
  <w:num w:numId="31">
    <w:abstractNumId w:val="20"/>
  </w:num>
  <w:num w:numId="32">
    <w:abstractNumId w:val="25"/>
  </w:num>
  <w:num w:numId="33">
    <w:abstractNumId w:val="23"/>
  </w:num>
  <w:num w:numId="34">
    <w:abstractNumId w:val="13"/>
  </w:num>
  <w:num w:numId="35">
    <w:abstractNumId w:val="19"/>
  </w:num>
  <w:num w:numId="36">
    <w:abstractNumId w:val="10"/>
  </w:num>
  <w:num w:numId="3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716B5"/>
    <w:rsid w:val="00074305"/>
    <w:rsid w:val="00082E58"/>
    <w:rsid w:val="000C0187"/>
    <w:rsid w:val="000C3178"/>
    <w:rsid w:val="000C4B26"/>
    <w:rsid w:val="000C749C"/>
    <w:rsid w:val="000D0B1D"/>
    <w:rsid w:val="000E3B8A"/>
    <w:rsid w:val="000F2A71"/>
    <w:rsid w:val="00100FEF"/>
    <w:rsid w:val="0010233F"/>
    <w:rsid w:val="00114569"/>
    <w:rsid w:val="0011582A"/>
    <w:rsid w:val="001273E5"/>
    <w:rsid w:val="00130D29"/>
    <w:rsid w:val="0013132C"/>
    <w:rsid w:val="00160434"/>
    <w:rsid w:val="00162DE7"/>
    <w:rsid w:val="0018171E"/>
    <w:rsid w:val="00196C64"/>
    <w:rsid w:val="001A5205"/>
    <w:rsid w:val="001A7126"/>
    <w:rsid w:val="001B73EE"/>
    <w:rsid w:val="001B793A"/>
    <w:rsid w:val="001D2FC0"/>
    <w:rsid w:val="001E3B79"/>
    <w:rsid w:val="001E544B"/>
    <w:rsid w:val="001F1600"/>
    <w:rsid w:val="001F2361"/>
    <w:rsid w:val="001F3123"/>
    <w:rsid w:val="00201A47"/>
    <w:rsid w:val="00210117"/>
    <w:rsid w:val="00280690"/>
    <w:rsid w:val="002A01A6"/>
    <w:rsid w:val="002C11C5"/>
    <w:rsid w:val="002C5844"/>
    <w:rsid w:val="002D27CD"/>
    <w:rsid w:val="002D5FA0"/>
    <w:rsid w:val="002E496D"/>
    <w:rsid w:val="002F612F"/>
    <w:rsid w:val="00301E18"/>
    <w:rsid w:val="003520CD"/>
    <w:rsid w:val="0035730D"/>
    <w:rsid w:val="003675A8"/>
    <w:rsid w:val="003778E8"/>
    <w:rsid w:val="00380E47"/>
    <w:rsid w:val="00395CC2"/>
    <w:rsid w:val="003A0096"/>
    <w:rsid w:val="003A1399"/>
    <w:rsid w:val="003C3220"/>
    <w:rsid w:val="003D03B0"/>
    <w:rsid w:val="003E4D4F"/>
    <w:rsid w:val="003F4C3E"/>
    <w:rsid w:val="00403971"/>
    <w:rsid w:val="00404C7A"/>
    <w:rsid w:val="00411753"/>
    <w:rsid w:val="00420F07"/>
    <w:rsid w:val="004256AC"/>
    <w:rsid w:val="00431B00"/>
    <w:rsid w:val="00436C82"/>
    <w:rsid w:val="004415A3"/>
    <w:rsid w:val="00445521"/>
    <w:rsid w:val="00456E30"/>
    <w:rsid w:val="00464F81"/>
    <w:rsid w:val="00470175"/>
    <w:rsid w:val="00470FDD"/>
    <w:rsid w:val="00474D95"/>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E02D0"/>
    <w:rsid w:val="005E2E5D"/>
    <w:rsid w:val="005E7363"/>
    <w:rsid w:val="005F739E"/>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11B3E"/>
    <w:rsid w:val="007166B7"/>
    <w:rsid w:val="00731B10"/>
    <w:rsid w:val="00733803"/>
    <w:rsid w:val="0074034B"/>
    <w:rsid w:val="00740C53"/>
    <w:rsid w:val="00753D70"/>
    <w:rsid w:val="00754F05"/>
    <w:rsid w:val="00757E4F"/>
    <w:rsid w:val="00772511"/>
    <w:rsid w:val="0078504D"/>
    <w:rsid w:val="0078783C"/>
    <w:rsid w:val="007A6EED"/>
    <w:rsid w:val="007B215D"/>
    <w:rsid w:val="007C38B8"/>
    <w:rsid w:val="007D5D4D"/>
    <w:rsid w:val="007D6A4C"/>
    <w:rsid w:val="007F5557"/>
    <w:rsid w:val="007F7D64"/>
    <w:rsid w:val="008131D1"/>
    <w:rsid w:val="00834296"/>
    <w:rsid w:val="008408EF"/>
    <w:rsid w:val="0086012B"/>
    <w:rsid w:val="008609E6"/>
    <w:rsid w:val="00862690"/>
    <w:rsid w:val="00866DEC"/>
    <w:rsid w:val="0089601F"/>
    <w:rsid w:val="008A235D"/>
    <w:rsid w:val="008B76E0"/>
    <w:rsid w:val="008D63D7"/>
    <w:rsid w:val="008D7BC5"/>
    <w:rsid w:val="008D7F78"/>
    <w:rsid w:val="008E6AC1"/>
    <w:rsid w:val="00927EEC"/>
    <w:rsid w:val="00940EAE"/>
    <w:rsid w:val="00942CFF"/>
    <w:rsid w:val="0096384E"/>
    <w:rsid w:val="00970D1C"/>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204F8"/>
    <w:rsid w:val="00A34437"/>
    <w:rsid w:val="00A37F10"/>
    <w:rsid w:val="00A430C9"/>
    <w:rsid w:val="00A4498F"/>
    <w:rsid w:val="00A559EB"/>
    <w:rsid w:val="00A55B40"/>
    <w:rsid w:val="00A70AE2"/>
    <w:rsid w:val="00A94AC0"/>
    <w:rsid w:val="00AA7062"/>
    <w:rsid w:val="00AA79C7"/>
    <w:rsid w:val="00AB0249"/>
    <w:rsid w:val="00AB0F91"/>
    <w:rsid w:val="00AC4637"/>
    <w:rsid w:val="00AE1189"/>
    <w:rsid w:val="00AE3E9E"/>
    <w:rsid w:val="00AF05AC"/>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C0E71"/>
    <w:rsid w:val="00BE2068"/>
    <w:rsid w:val="00BF291A"/>
    <w:rsid w:val="00BF728B"/>
    <w:rsid w:val="00C20C17"/>
    <w:rsid w:val="00C33B32"/>
    <w:rsid w:val="00C74899"/>
    <w:rsid w:val="00C8147F"/>
    <w:rsid w:val="00C82181"/>
    <w:rsid w:val="00CA3403"/>
    <w:rsid w:val="00CB72DD"/>
    <w:rsid w:val="00D2379D"/>
    <w:rsid w:val="00D6592E"/>
    <w:rsid w:val="00D82155"/>
    <w:rsid w:val="00DA0744"/>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Name of Policy</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Policy</dc:title>
  <dc:subject>eBook</dc:subject>
  <dc:creator>yvett</dc:creator>
  <cp:keywords/>
  <dc:description/>
  <cp:lastModifiedBy>Nicole Howe</cp:lastModifiedBy>
  <cp:revision>4</cp:revision>
  <cp:lastPrinted>2020-06-08T01:52:00Z</cp:lastPrinted>
  <dcterms:created xsi:type="dcterms:W3CDTF">2021-10-22T04:48:00Z</dcterms:created>
  <dcterms:modified xsi:type="dcterms:W3CDTF">2021-11-16T04:59:00Z</dcterms:modified>
</cp:coreProperties>
</file>