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210869D5" w:rsidR="004834CA" w:rsidRPr="00546653" w:rsidRDefault="003F0BA9" w:rsidP="00546653">
      <w:pPr>
        <w:pStyle w:val="Heading2"/>
        <w:rPr>
          <w:rFonts w:eastAsia="Times New Roman"/>
        </w:rPr>
      </w:pPr>
      <w:r>
        <w:rPr>
          <w:rFonts w:eastAsiaTheme="minorHAnsi"/>
          <w:lang w:val="en-GB" w:eastAsia="en-US"/>
        </w:rPr>
        <w:t xml:space="preserve">Workers Compensation </w:t>
      </w:r>
      <w:r w:rsidR="007054EC">
        <w:rPr>
          <w:rFonts w:eastAsiaTheme="minorHAnsi"/>
          <w:lang w:val="en-GB" w:eastAsia="en-US"/>
        </w:rPr>
        <w:t>Checklist</w:t>
      </w:r>
    </w:p>
    <w:p w14:paraId="5E18DD35" w14:textId="77777777" w:rsidR="003F0BA9" w:rsidRDefault="003F0BA9" w:rsidP="003F0BA9">
      <w:pPr>
        <w:pStyle w:val="H1Centered"/>
        <w:spacing w:before="0"/>
        <w:rPr>
          <w:rFonts w:ascii="Calibri" w:hAnsi="Calibri" w:cs="Calibri"/>
        </w:rPr>
      </w:pP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7540"/>
        <w:gridCol w:w="1227"/>
      </w:tblGrid>
      <w:tr w:rsidR="003F0BA9" w14:paraId="0B20AD81" w14:textId="77777777" w:rsidTr="002C5C13">
        <w:tc>
          <w:tcPr>
            <w:tcW w:w="4300" w:type="pct"/>
            <w:shd w:val="clear" w:color="auto" w:fill="006EB0" w:themeFill="accent1"/>
            <w:hideMark/>
          </w:tcPr>
          <w:p w14:paraId="7AEB1F41" w14:textId="77777777" w:rsidR="003F0BA9" w:rsidRPr="00A64015" w:rsidRDefault="003F0BA9">
            <w:pPr>
              <w:pStyle w:val="Heading2"/>
              <w:spacing w:before="0"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Basic checklist of what to provide the injured worker with, if there is an injury in the workplace</w:t>
            </w:r>
          </w:p>
        </w:tc>
        <w:tc>
          <w:tcPr>
            <w:tcW w:w="700" w:type="pct"/>
            <w:shd w:val="clear" w:color="auto" w:fill="006EB0" w:themeFill="accent1"/>
            <w:hideMark/>
          </w:tcPr>
          <w:p w14:paraId="291AFB1F" w14:textId="77777777" w:rsidR="003F0BA9" w:rsidRPr="00A64015" w:rsidRDefault="003F0BA9">
            <w:pPr>
              <w:pStyle w:val="Heading2"/>
              <w:spacing w:before="0"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Complete</w:t>
            </w:r>
          </w:p>
        </w:tc>
      </w:tr>
      <w:tr w:rsidR="003F0BA9" w14:paraId="32E07090" w14:textId="77777777" w:rsidTr="002C5C13">
        <w:tc>
          <w:tcPr>
            <w:tcW w:w="4300" w:type="pct"/>
            <w:shd w:val="clear" w:color="auto" w:fill="D9D9D9" w:themeFill="background1" w:themeFillShade="D9"/>
            <w:hideMark/>
          </w:tcPr>
          <w:p w14:paraId="7FACEE26"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First aid and/or transport to medical treatment</w:t>
            </w:r>
          </w:p>
        </w:tc>
        <w:tc>
          <w:tcPr>
            <w:tcW w:w="700" w:type="pct"/>
            <w:shd w:val="clear" w:color="auto" w:fill="D9D9D9" w:themeFill="background1" w:themeFillShade="D9"/>
            <w:hideMark/>
          </w:tcPr>
          <w:p w14:paraId="2839222A" w14:textId="39C2F3D7"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bookmarkStart w:id="0" w:name="Check1"/>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bookmarkEnd w:id="0"/>
          </w:p>
        </w:tc>
      </w:tr>
      <w:tr w:rsidR="003F0BA9" w14:paraId="25A177C1" w14:textId="77777777" w:rsidTr="002C5C13">
        <w:tc>
          <w:tcPr>
            <w:tcW w:w="4300" w:type="pct"/>
            <w:shd w:val="clear" w:color="auto" w:fill="F2F2F2" w:themeFill="background1" w:themeFillShade="F2"/>
            <w:hideMark/>
          </w:tcPr>
          <w:p w14:paraId="674B0CD7"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Name of the insurer</w:t>
            </w:r>
          </w:p>
        </w:tc>
        <w:tc>
          <w:tcPr>
            <w:tcW w:w="700" w:type="pct"/>
            <w:shd w:val="clear" w:color="auto" w:fill="F2F2F2" w:themeFill="background1" w:themeFillShade="F2"/>
            <w:hideMark/>
          </w:tcPr>
          <w:p w14:paraId="45388DB7" w14:textId="51004D60"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394723B9" w14:textId="77777777" w:rsidTr="002C5C13">
        <w:tc>
          <w:tcPr>
            <w:tcW w:w="4300" w:type="pct"/>
            <w:shd w:val="clear" w:color="auto" w:fill="D9D9D9" w:themeFill="background1" w:themeFillShade="D9"/>
            <w:hideMark/>
          </w:tcPr>
          <w:p w14:paraId="3E7BEB86"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Employer name and employer contact details </w:t>
            </w:r>
          </w:p>
        </w:tc>
        <w:tc>
          <w:tcPr>
            <w:tcW w:w="700" w:type="pct"/>
            <w:shd w:val="clear" w:color="auto" w:fill="D9D9D9" w:themeFill="background1" w:themeFillShade="D9"/>
            <w:hideMark/>
          </w:tcPr>
          <w:p w14:paraId="3307474D" w14:textId="13A5387D"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7E7547BA" w14:textId="77777777" w:rsidTr="002C5C13">
        <w:tc>
          <w:tcPr>
            <w:tcW w:w="4300" w:type="pct"/>
            <w:shd w:val="clear" w:color="auto" w:fill="F2F2F2" w:themeFill="background1" w:themeFillShade="F2"/>
            <w:hideMark/>
          </w:tcPr>
          <w:p w14:paraId="7932465F"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A claim form, if requested by the worker</w:t>
            </w:r>
          </w:p>
        </w:tc>
        <w:tc>
          <w:tcPr>
            <w:tcW w:w="700" w:type="pct"/>
            <w:shd w:val="clear" w:color="auto" w:fill="F2F2F2" w:themeFill="background1" w:themeFillShade="F2"/>
            <w:hideMark/>
          </w:tcPr>
          <w:p w14:paraId="18C2A65F" w14:textId="4474DA5E"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072CD3FB" w14:textId="77777777" w:rsidTr="002C5C13">
        <w:tc>
          <w:tcPr>
            <w:tcW w:w="4300" w:type="pct"/>
            <w:shd w:val="clear" w:color="auto" w:fill="006EB0" w:themeFill="accent1"/>
            <w:hideMark/>
          </w:tcPr>
          <w:p w14:paraId="744D93C4" w14:textId="77777777" w:rsidR="003F0BA9" w:rsidRPr="00A64015" w:rsidRDefault="003F0BA9">
            <w:pPr>
              <w:pStyle w:val="Heading2"/>
              <w:spacing w:before="0"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Checklist of basic information to be reported to your insurer</w:t>
            </w:r>
          </w:p>
        </w:tc>
        <w:tc>
          <w:tcPr>
            <w:tcW w:w="700" w:type="pct"/>
            <w:shd w:val="clear" w:color="auto" w:fill="006EB0" w:themeFill="accent1"/>
            <w:hideMark/>
          </w:tcPr>
          <w:p w14:paraId="5F2AC74E"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 xml:space="preserve"> </w:t>
            </w:r>
          </w:p>
        </w:tc>
      </w:tr>
      <w:tr w:rsidR="003F0BA9" w14:paraId="1BEA8A3D" w14:textId="77777777" w:rsidTr="002C5C13">
        <w:tc>
          <w:tcPr>
            <w:tcW w:w="4300" w:type="pct"/>
            <w:shd w:val="clear" w:color="auto" w:fill="D9D9D9" w:themeFill="background1" w:themeFillShade="D9"/>
            <w:hideMark/>
          </w:tcPr>
          <w:p w14:paraId="5DCCF316"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Notify incident to the insurer within the required timeframe</w:t>
            </w:r>
          </w:p>
        </w:tc>
        <w:tc>
          <w:tcPr>
            <w:tcW w:w="700" w:type="pct"/>
            <w:shd w:val="clear" w:color="auto" w:fill="D9D9D9" w:themeFill="background1" w:themeFillShade="D9"/>
            <w:hideMark/>
          </w:tcPr>
          <w:p w14:paraId="1A9687F5" w14:textId="51EA2283"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377D672B" w14:textId="77777777" w:rsidTr="002C5C13">
        <w:tc>
          <w:tcPr>
            <w:tcW w:w="4300" w:type="pct"/>
            <w:shd w:val="clear" w:color="auto" w:fill="F2F2F2" w:themeFill="background1" w:themeFillShade="F2"/>
            <w:hideMark/>
          </w:tcPr>
          <w:p w14:paraId="0FC5FD89"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Advise of workers compensation policy number</w:t>
            </w:r>
          </w:p>
        </w:tc>
        <w:tc>
          <w:tcPr>
            <w:tcW w:w="700" w:type="pct"/>
            <w:shd w:val="clear" w:color="auto" w:fill="F2F2F2" w:themeFill="background1" w:themeFillShade="F2"/>
            <w:hideMark/>
          </w:tcPr>
          <w:p w14:paraId="399C2D2A" w14:textId="1E3AD7AE"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1F875C0B" w14:textId="77777777" w:rsidTr="002C5C13">
        <w:tc>
          <w:tcPr>
            <w:tcW w:w="4300" w:type="pct"/>
            <w:shd w:val="clear" w:color="auto" w:fill="D9D9D9" w:themeFill="background1" w:themeFillShade="D9"/>
            <w:hideMark/>
          </w:tcPr>
          <w:p w14:paraId="60EBBE53"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The injured employee’s name, contact telephone number, address, date of birth and if an interpreter is required</w:t>
            </w:r>
          </w:p>
        </w:tc>
        <w:tc>
          <w:tcPr>
            <w:tcW w:w="700" w:type="pct"/>
            <w:shd w:val="clear" w:color="auto" w:fill="D9D9D9" w:themeFill="background1" w:themeFillShade="D9"/>
            <w:hideMark/>
          </w:tcPr>
          <w:p w14:paraId="4EF170F6" w14:textId="5270EAC1"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5DB7F96C" w14:textId="77777777" w:rsidTr="002C5C13">
        <w:tc>
          <w:tcPr>
            <w:tcW w:w="4300" w:type="pct"/>
            <w:shd w:val="clear" w:color="auto" w:fill="F2F2F2" w:themeFill="background1" w:themeFillShade="F2"/>
            <w:hideMark/>
          </w:tcPr>
          <w:p w14:paraId="26E2E132"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Injury details including the date, time, location and description of the injury, and details of how it happened</w:t>
            </w:r>
          </w:p>
        </w:tc>
        <w:tc>
          <w:tcPr>
            <w:tcW w:w="700" w:type="pct"/>
            <w:shd w:val="clear" w:color="auto" w:fill="F2F2F2" w:themeFill="background1" w:themeFillShade="F2"/>
            <w:hideMark/>
          </w:tcPr>
          <w:p w14:paraId="68E614C7" w14:textId="50EABEF6"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7B5C557B" w14:textId="77777777" w:rsidTr="002C5C13">
        <w:tc>
          <w:tcPr>
            <w:tcW w:w="4300" w:type="pct"/>
            <w:shd w:val="clear" w:color="auto" w:fill="D9D9D9" w:themeFill="background1" w:themeFillShade="D9"/>
            <w:hideMark/>
          </w:tcPr>
          <w:p w14:paraId="75E889FC"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 xml:space="preserve">Confirm the name and contact details of the employer and provide the name, </w:t>
            </w:r>
            <w:proofErr w:type="gramStart"/>
            <w:r w:rsidRPr="00A64015">
              <w:rPr>
                <w:rFonts w:asciiTheme="minorHAnsi" w:hAnsiTheme="minorHAnsi" w:cstheme="minorHAnsi"/>
                <w:sz w:val="22"/>
                <w:szCs w:val="22"/>
              </w:rPr>
              <w:t>position</w:t>
            </w:r>
            <w:proofErr w:type="gramEnd"/>
            <w:r w:rsidRPr="00A64015">
              <w:rPr>
                <w:rFonts w:asciiTheme="minorHAnsi" w:hAnsiTheme="minorHAnsi" w:cstheme="minorHAnsi"/>
                <w:sz w:val="22"/>
                <w:szCs w:val="22"/>
              </w:rPr>
              <w:t xml:space="preserve"> and contact details of the person making the initial notification</w:t>
            </w:r>
          </w:p>
        </w:tc>
        <w:tc>
          <w:tcPr>
            <w:tcW w:w="700" w:type="pct"/>
            <w:shd w:val="clear" w:color="auto" w:fill="D9D9D9" w:themeFill="background1" w:themeFillShade="D9"/>
            <w:hideMark/>
          </w:tcPr>
          <w:p w14:paraId="75027C02" w14:textId="58ACBCD5"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2F31C8AF" w14:textId="77777777" w:rsidTr="002C5C13">
        <w:tc>
          <w:tcPr>
            <w:tcW w:w="4300" w:type="pct"/>
            <w:shd w:val="clear" w:color="auto" w:fill="F2F2F2" w:themeFill="background1" w:themeFillShade="F2"/>
            <w:hideMark/>
          </w:tcPr>
          <w:p w14:paraId="20483A29"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Name of the treating doctor and/or name of the hospital if the worker is hospitalised</w:t>
            </w:r>
          </w:p>
        </w:tc>
        <w:tc>
          <w:tcPr>
            <w:tcW w:w="700" w:type="pct"/>
            <w:shd w:val="clear" w:color="auto" w:fill="F2F2F2" w:themeFill="background1" w:themeFillShade="F2"/>
            <w:hideMark/>
          </w:tcPr>
          <w:p w14:paraId="0DEBEEB8" w14:textId="75D50C92"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4D0BAAA8" w14:textId="77777777" w:rsidTr="002C5C13">
        <w:tc>
          <w:tcPr>
            <w:tcW w:w="4300" w:type="pct"/>
            <w:shd w:val="clear" w:color="auto" w:fill="D9D9D9" w:themeFill="background1" w:themeFillShade="D9"/>
            <w:hideMark/>
          </w:tcPr>
          <w:p w14:paraId="23ECB220"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Contact details of any witnesses</w:t>
            </w:r>
          </w:p>
        </w:tc>
        <w:tc>
          <w:tcPr>
            <w:tcW w:w="700" w:type="pct"/>
            <w:shd w:val="clear" w:color="auto" w:fill="D9D9D9" w:themeFill="background1" w:themeFillShade="D9"/>
            <w:hideMark/>
          </w:tcPr>
          <w:p w14:paraId="4A7A3337" w14:textId="09502B0A"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33AAE5BD" w14:textId="77777777" w:rsidTr="002C5C13">
        <w:tc>
          <w:tcPr>
            <w:tcW w:w="4300" w:type="pct"/>
            <w:shd w:val="clear" w:color="auto" w:fill="F2F2F2" w:themeFill="background1" w:themeFillShade="F2"/>
            <w:hideMark/>
          </w:tcPr>
          <w:p w14:paraId="539EDB87"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Relevant medical certificate(s), if provided by the injured worker should be sent to the insurer within seven days</w:t>
            </w:r>
          </w:p>
        </w:tc>
        <w:tc>
          <w:tcPr>
            <w:tcW w:w="700" w:type="pct"/>
            <w:shd w:val="clear" w:color="auto" w:fill="F2F2F2" w:themeFill="background1" w:themeFillShade="F2"/>
            <w:hideMark/>
          </w:tcPr>
          <w:p w14:paraId="1058A47C" w14:textId="638FC49F"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74E8C328" w14:textId="77777777" w:rsidTr="002C5C13">
        <w:tc>
          <w:tcPr>
            <w:tcW w:w="4300" w:type="pct"/>
            <w:shd w:val="clear" w:color="auto" w:fill="D9D9D9" w:themeFill="background1" w:themeFillShade="D9"/>
            <w:hideMark/>
          </w:tcPr>
          <w:p w14:paraId="3E3C6272"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 xml:space="preserve">Ongoing medical certificates, </w:t>
            </w:r>
            <w:proofErr w:type="gramStart"/>
            <w:r w:rsidRPr="00A64015">
              <w:rPr>
                <w:rFonts w:asciiTheme="minorHAnsi" w:hAnsiTheme="minorHAnsi" w:cstheme="minorHAnsi"/>
                <w:sz w:val="22"/>
                <w:szCs w:val="22"/>
              </w:rPr>
              <w:t>receipts</w:t>
            </w:r>
            <w:proofErr w:type="gramEnd"/>
            <w:r w:rsidRPr="00A64015">
              <w:rPr>
                <w:rFonts w:asciiTheme="minorHAnsi" w:hAnsiTheme="minorHAnsi" w:cstheme="minorHAnsi"/>
                <w:sz w:val="22"/>
                <w:szCs w:val="22"/>
              </w:rPr>
              <w:t xml:space="preserve"> and accounts for medical or other treatment should be sent to the insurer within seven days of receipt</w:t>
            </w:r>
          </w:p>
        </w:tc>
        <w:tc>
          <w:tcPr>
            <w:tcW w:w="700" w:type="pct"/>
            <w:shd w:val="clear" w:color="auto" w:fill="D9D9D9" w:themeFill="background1" w:themeFillShade="D9"/>
            <w:hideMark/>
          </w:tcPr>
          <w:p w14:paraId="2D9980A3" w14:textId="1D76E520"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074B8413" w14:textId="77777777" w:rsidTr="002C5C13">
        <w:tc>
          <w:tcPr>
            <w:tcW w:w="4300" w:type="pct"/>
            <w:shd w:val="clear" w:color="auto" w:fill="F2F2F2" w:themeFill="background1" w:themeFillShade="F2"/>
            <w:hideMark/>
          </w:tcPr>
          <w:p w14:paraId="2093BC7C"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The insurer should provide you with an incident/reference number and you should keep this number for your records.</w:t>
            </w:r>
          </w:p>
        </w:tc>
        <w:tc>
          <w:tcPr>
            <w:tcW w:w="700" w:type="pct"/>
            <w:shd w:val="clear" w:color="auto" w:fill="F2F2F2" w:themeFill="background1" w:themeFillShade="F2"/>
            <w:hideMark/>
          </w:tcPr>
          <w:p w14:paraId="5EB2AAB3" w14:textId="4F8DD1A6"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579A7F51" w14:textId="77777777" w:rsidTr="002C5C13">
        <w:tc>
          <w:tcPr>
            <w:tcW w:w="4300" w:type="pct"/>
            <w:shd w:val="clear" w:color="auto" w:fill="D9D9D9" w:themeFill="background1" w:themeFillShade="D9"/>
            <w:hideMark/>
          </w:tcPr>
          <w:p w14:paraId="771687B8" w14:textId="77777777" w:rsidR="003F0BA9" w:rsidRPr="00A64015" w:rsidRDefault="003F0BA9">
            <w:pPr>
              <w:pStyle w:val="BodyText"/>
              <w:spacing w:line="276" w:lineRule="auto"/>
              <w:rPr>
                <w:rFonts w:asciiTheme="minorHAnsi" w:hAnsiTheme="minorHAnsi" w:cstheme="minorHAnsi"/>
                <w:sz w:val="22"/>
                <w:szCs w:val="22"/>
              </w:rPr>
            </w:pPr>
            <w:r w:rsidRPr="00A64015">
              <w:rPr>
                <w:rFonts w:asciiTheme="minorHAnsi" w:hAnsiTheme="minorHAnsi" w:cstheme="minorHAnsi"/>
                <w:sz w:val="22"/>
                <w:szCs w:val="22"/>
              </w:rPr>
              <w:lastRenderedPageBreak/>
              <w:t>Some insurers have a telephone reporting service. When basic information on a claim is provided over the telephone, they may send you a partially completed claim form and a claim form for the injured worker to complete, based on the information provided.</w:t>
            </w:r>
          </w:p>
        </w:tc>
        <w:tc>
          <w:tcPr>
            <w:tcW w:w="700" w:type="pct"/>
            <w:shd w:val="clear" w:color="auto" w:fill="D9D9D9" w:themeFill="background1" w:themeFillShade="D9"/>
            <w:hideMark/>
          </w:tcPr>
          <w:p w14:paraId="1F689C3A" w14:textId="77777777" w:rsid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p>
          <w:p w14:paraId="36618E3D" w14:textId="348CFA3C"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3D8BA7A3" w14:textId="77777777" w:rsidTr="002C5C13">
        <w:tc>
          <w:tcPr>
            <w:tcW w:w="4300" w:type="pct"/>
            <w:shd w:val="clear" w:color="auto" w:fill="006EB0" w:themeFill="accent1"/>
            <w:hideMark/>
          </w:tcPr>
          <w:p w14:paraId="5D13395D"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Style w:val="Bold"/>
                <w:rFonts w:asciiTheme="minorHAnsi" w:eastAsiaTheme="majorEastAsia" w:hAnsiTheme="minorHAnsi" w:cstheme="minorHAnsi"/>
                <w:b w:val="0"/>
                <w:bCs w:val="0"/>
                <w:color w:val="FFFFFF" w:themeColor="background1"/>
                <w:sz w:val="22"/>
                <w:szCs w:val="22"/>
              </w:rPr>
              <w:t>Checklist for creating an injury reporting plan</w:t>
            </w:r>
          </w:p>
        </w:tc>
        <w:tc>
          <w:tcPr>
            <w:tcW w:w="700" w:type="pct"/>
            <w:shd w:val="clear" w:color="auto" w:fill="006EB0" w:themeFill="accent1"/>
            <w:hideMark/>
          </w:tcPr>
          <w:p w14:paraId="458C970D"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 </w:t>
            </w:r>
          </w:p>
        </w:tc>
      </w:tr>
      <w:tr w:rsidR="003F0BA9" w14:paraId="03CC519F" w14:textId="77777777" w:rsidTr="002C5C13">
        <w:tc>
          <w:tcPr>
            <w:tcW w:w="4300" w:type="pct"/>
            <w:shd w:val="clear" w:color="auto" w:fill="F2F2F2" w:themeFill="background1" w:themeFillShade="F2"/>
            <w:hideMark/>
          </w:tcPr>
          <w:p w14:paraId="31AAF0DB"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Prepare lists of potential concerned persons in advance, by considering:</w:t>
            </w:r>
          </w:p>
        </w:tc>
        <w:tc>
          <w:tcPr>
            <w:tcW w:w="700" w:type="pct"/>
            <w:shd w:val="clear" w:color="auto" w:fill="F2F2F2" w:themeFill="background1" w:themeFillShade="F2"/>
            <w:hideMark/>
          </w:tcPr>
          <w:p w14:paraId="05E6D6D5"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 </w:t>
            </w:r>
          </w:p>
        </w:tc>
      </w:tr>
      <w:tr w:rsidR="003F0BA9" w14:paraId="6F802576" w14:textId="77777777" w:rsidTr="002C5C13">
        <w:tc>
          <w:tcPr>
            <w:tcW w:w="4300" w:type="pct"/>
            <w:shd w:val="clear" w:color="auto" w:fill="D9D9D9" w:themeFill="background1" w:themeFillShade="D9"/>
            <w:hideMark/>
          </w:tcPr>
          <w:p w14:paraId="5063E2A1"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Who secures the work site?</w:t>
            </w:r>
          </w:p>
        </w:tc>
        <w:tc>
          <w:tcPr>
            <w:tcW w:w="700" w:type="pct"/>
            <w:shd w:val="clear" w:color="auto" w:fill="D9D9D9" w:themeFill="background1" w:themeFillShade="D9"/>
            <w:hideMark/>
          </w:tcPr>
          <w:p w14:paraId="22FA183A" w14:textId="0B3E1B0A"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39DB5256" w14:textId="77777777" w:rsidTr="002C5C13">
        <w:tc>
          <w:tcPr>
            <w:tcW w:w="4300" w:type="pct"/>
            <w:shd w:val="clear" w:color="auto" w:fill="F2F2F2" w:themeFill="background1" w:themeFillShade="F2"/>
            <w:hideMark/>
          </w:tcPr>
          <w:p w14:paraId="222A0925"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Who liaises with affected employees?</w:t>
            </w:r>
          </w:p>
        </w:tc>
        <w:tc>
          <w:tcPr>
            <w:tcW w:w="700" w:type="pct"/>
            <w:shd w:val="clear" w:color="auto" w:fill="F2F2F2" w:themeFill="background1" w:themeFillShade="F2"/>
            <w:hideMark/>
          </w:tcPr>
          <w:p w14:paraId="41AD8BDC" w14:textId="68A00A6C"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4889BBAB" w14:textId="77777777" w:rsidTr="002C5C13">
        <w:tc>
          <w:tcPr>
            <w:tcW w:w="4300" w:type="pct"/>
            <w:shd w:val="clear" w:color="auto" w:fill="D9D9D9" w:themeFill="background1" w:themeFillShade="D9"/>
            <w:hideMark/>
          </w:tcPr>
          <w:p w14:paraId="2DF277CC"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Who liaises with the WHS/OHS statutory authority, the police and other emergency service organisations?</w:t>
            </w:r>
          </w:p>
        </w:tc>
        <w:tc>
          <w:tcPr>
            <w:tcW w:w="700" w:type="pct"/>
            <w:shd w:val="clear" w:color="auto" w:fill="D9D9D9" w:themeFill="background1" w:themeFillShade="D9"/>
            <w:hideMark/>
          </w:tcPr>
          <w:p w14:paraId="49EA9CAF" w14:textId="5EBCCF7D"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75DF1E87" w14:textId="77777777" w:rsidTr="002C5C13">
        <w:tc>
          <w:tcPr>
            <w:tcW w:w="4300" w:type="pct"/>
            <w:shd w:val="clear" w:color="auto" w:fill="F2F2F2" w:themeFill="background1" w:themeFillShade="F2"/>
            <w:hideMark/>
          </w:tcPr>
          <w:p w14:paraId="66F15DA5"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Who prepares and controls any relevant documents?</w:t>
            </w:r>
          </w:p>
        </w:tc>
        <w:tc>
          <w:tcPr>
            <w:tcW w:w="700" w:type="pct"/>
            <w:shd w:val="clear" w:color="auto" w:fill="F2F2F2" w:themeFill="background1" w:themeFillShade="F2"/>
            <w:hideMark/>
          </w:tcPr>
          <w:p w14:paraId="54A26A91" w14:textId="0C70CABA"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0CD431C0" w14:textId="77777777" w:rsidTr="002C5C13">
        <w:tc>
          <w:tcPr>
            <w:tcW w:w="4300" w:type="pct"/>
            <w:shd w:val="clear" w:color="auto" w:fill="D9D9D9" w:themeFill="background1" w:themeFillShade="D9"/>
            <w:hideMark/>
          </w:tcPr>
          <w:p w14:paraId="0BA329CA"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Who gathers the facts about the incident?</w:t>
            </w:r>
          </w:p>
        </w:tc>
        <w:tc>
          <w:tcPr>
            <w:tcW w:w="700" w:type="pct"/>
            <w:shd w:val="clear" w:color="auto" w:fill="D9D9D9" w:themeFill="background1" w:themeFillShade="D9"/>
            <w:hideMark/>
          </w:tcPr>
          <w:p w14:paraId="0D86F0E5" w14:textId="3D0CAD84"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4BC8A308" w14:textId="77777777" w:rsidTr="002C5C13">
        <w:tc>
          <w:tcPr>
            <w:tcW w:w="4300" w:type="pct"/>
            <w:shd w:val="clear" w:color="auto" w:fill="F2F2F2" w:themeFill="background1" w:themeFillShade="F2"/>
            <w:hideMark/>
          </w:tcPr>
          <w:p w14:paraId="43853AD6"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Who liaises with the media and other agencies?</w:t>
            </w:r>
          </w:p>
        </w:tc>
        <w:tc>
          <w:tcPr>
            <w:tcW w:w="700" w:type="pct"/>
            <w:shd w:val="clear" w:color="auto" w:fill="F2F2F2" w:themeFill="background1" w:themeFillShade="F2"/>
            <w:hideMark/>
          </w:tcPr>
          <w:p w14:paraId="692F0466" w14:textId="2A697B8B"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3804D6FF" w14:textId="77777777" w:rsidTr="002C5C13">
        <w:tc>
          <w:tcPr>
            <w:tcW w:w="4300" w:type="pct"/>
            <w:shd w:val="clear" w:color="auto" w:fill="D9D9D9" w:themeFill="background1" w:themeFillShade="D9"/>
            <w:hideMark/>
          </w:tcPr>
          <w:p w14:paraId="6B234BE9"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Include home addresses and mobile phone numbers in each case</w:t>
            </w:r>
          </w:p>
        </w:tc>
        <w:tc>
          <w:tcPr>
            <w:tcW w:w="700" w:type="pct"/>
            <w:shd w:val="clear" w:color="auto" w:fill="D9D9D9" w:themeFill="background1" w:themeFillShade="D9"/>
            <w:hideMark/>
          </w:tcPr>
          <w:p w14:paraId="442419F6" w14:textId="2BB54E20"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546ABDD5" w14:textId="77777777" w:rsidTr="002C5C13">
        <w:tc>
          <w:tcPr>
            <w:tcW w:w="4300" w:type="pct"/>
            <w:shd w:val="clear" w:color="auto" w:fill="F2F2F2" w:themeFill="background1" w:themeFillShade="F2"/>
            <w:hideMark/>
          </w:tcPr>
          <w:p w14:paraId="2CB8CC4E"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Remember that many other parties may be affected by the incident: employees, their families and relatives, police, other emergency service organisations, WHS/OHS statutory authority, contractors, consultants (such as engineers cognisant with the work equipment/plan in question), the media and unions (who may insist on right of entry to the workplace).</w:t>
            </w:r>
          </w:p>
        </w:tc>
        <w:tc>
          <w:tcPr>
            <w:tcW w:w="700" w:type="pct"/>
            <w:shd w:val="clear" w:color="auto" w:fill="F2F2F2" w:themeFill="background1" w:themeFillShade="F2"/>
            <w:hideMark/>
          </w:tcPr>
          <w:p w14:paraId="488293BE" w14:textId="6582F82A"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196B1FAA" w14:textId="77777777" w:rsidTr="002C5C13">
        <w:tc>
          <w:tcPr>
            <w:tcW w:w="4300" w:type="pct"/>
            <w:shd w:val="clear" w:color="auto" w:fill="006EB0" w:themeFill="accent1"/>
            <w:hideMark/>
          </w:tcPr>
          <w:p w14:paraId="1E017E1B" w14:textId="77777777" w:rsidR="003F0BA9" w:rsidRPr="00A64015" w:rsidRDefault="003F0BA9">
            <w:pPr>
              <w:pStyle w:val="Heading2"/>
              <w:spacing w:before="0"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Checklist for conducting an internal investigation</w:t>
            </w:r>
          </w:p>
        </w:tc>
        <w:tc>
          <w:tcPr>
            <w:tcW w:w="700" w:type="pct"/>
            <w:shd w:val="clear" w:color="auto" w:fill="006EB0" w:themeFill="accent1"/>
            <w:hideMark/>
          </w:tcPr>
          <w:p w14:paraId="3A4F9099"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 xml:space="preserve"> </w:t>
            </w:r>
          </w:p>
        </w:tc>
      </w:tr>
      <w:tr w:rsidR="003F0BA9" w14:paraId="485F8703" w14:textId="77777777" w:rsidTr="002C5C13">
        <w:tc>
          <w:tcPr>
            <w:tcW w:w="4300" w:type="pct"/>
            <w:shd w:val="clear" w:color="auto" w:fill="D9D9D9" w:themeFill="background1" w:themeFillShade="D9"/>
            <w:hideMark/>
          </w:tcPr>
          <w:p w14:paraId="3DAA8DAE"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The essential outcome must be a clear statement of the injury and the cause</w:t>
            </w:r>
          </w:p>
        </w:tc>
        <w:tc>
          <w:tcPr>
            <w:tcW w:w="700" w:type="pct"/>
            <w:shd w:val="clear" w:color="auto" w:fill="D9D9D9" w:themeFill="background1" w:themeFillShade="D9"/>
            <w:hideMark/>
          </w:tcPr>
          <w:p w14:paraId="530A2CA5" w14:textId="6C775B97"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4856A2C8" w14:textId="77777777" w:rsidTr="002C5C13">
        <w:tc>
          <w:tcPr>
            <w:tcW w:w="4300" w:type="pct"/>
            <w:shd w:val="clear" w:color="auto" w:fill="F2F2F2" w:themeFill="background1" w:themeFillShade="F2"/>
            <w:hideMark/>
          </w:tcPr>
          <w:p w14:paraId="13CB6C76"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Interview the injured worker and record the events that led to the injury and how the injured worker says the injury occurred</w:t>
            </w:r>
          </w:p>
        </w:tc>
        <w:tc>
          <w:tcPr>
            <w:tcW w:w="700" w:type="pct"/>
            <w:shd w:val="clear" w:color="auto" w:fill="F2F2F2" w:themeFill="background1" w:themeFillShade="F2"/>
            <w:hideMark/>
          </w:tcPr>
          <w:p w14:paraId="7E0CB3B2" w14:textId="6C285413"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22AD2A99" w14:textId="77777777" w:rsidTr="002C5C13">
        <w:tc>
          <w:tcPr>
            <w:tcW w:w="4300" w:type="pct"/>
            <w:shd w:val="clear" w:color="auto" w:fill="D9D9D9" w:themeFill="background1" w:themeFillShade="D9"/>
            <w:hideMark/>
          </w:tcPr>
          <w:p w14:paraId="3EAFBAE2"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Interview any witnesses to the injury</w:t>
            </w:r>
          </w:p>
        </w:tc>
        <w:tc>
          <w:tcPr>
            <w:tcW w:w="700" w:type="pct"/>
            <w:shd w:val="clear" w:color="auto" w:fill="D9D9D9" w:themeFill="background1" w:themeFillShade="D9"/>
            <w:hideMark/>
          </w:tcPr>
          <w:p w14:paraId="76A13CFA" w14:textId="622E577C"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20F68282" w14:textId="77777777" w:rsidTr="002C5C13">
        <w:tc>
          <w:tcPr>
            <w:tcW w:w="4300" w:type="pct"/>
            <w:shd w:val="clear" w:color="auto" w:fill="F2F2F2" w:themeFill="background1" w:themeFillShade="F2"/>
            <w:hideMark/>
          </w:tcPr>
          <w:p w14:paraId="6847F916"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Consider closely the statements collected and identify any agreed facts and any dispute on the facts. If there are any disputed facts, gather statements from other witnesses and other relevant evidence to resolve the dispute.</w:t>
            </w:r>
          </w:p>
        </w:tc>
        <w:tc>
          <w:tcPr>
            <w:tcW w:w="700" w:type="pct"/>
            <w:shd w:val="clear" w:color="auto" w:fill="F2F2F2" w:themeFill="background1" w:themeFillShade="F2"/>
            <w:hideMark/>
          </w:tcPr>
          <w:p w14:paraId="2C2BA21A" w14:textId="26DF102F"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7B4B0462" w14:textId="77777777" w:rsidTr="002C5C13">
        <w:tc>
          <w:tcPr>
            <w:tcW w:w="4300" w:type="pct"/>
            <w:shd w:val="clear" w:color="auto" w:fill="D9D9D9" w:themeFill="background1" w:themeFillShade="D9"/>
            <w:hideMark/>
          </w:tcPr>
          <w:p w14:paraId="2BF97E82"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Identify and examine the causal factor(s)</w:t>
            </w:r>
          </w:p>
        </w:tc>
        <w:tc>
          <w:tcPr>
            <w:tcW w:w="700" w:type="pct"/>
            <w:shd w:val="clear" w:color="auto" w:fill="D9D9D9" w:themeFill="background1" w:themeFillShade="D9"/>
            <w:hideMark/>
          </w:tcPr>
          <w:p w14:paraId="1D770D6E" w14:textId="03B7A5ED"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66BF014A" w14:textId="77777777" w:rsidTr="002C5C13">
        <w:tc>
          <w:tcPr>
            <w:tcW w:w="4300" w:type="pct"/>
            <w:shd w:val="clear" w:color="auto" w:fill="F2F2F2" w:themeFill="background1" w:themeFillShade="F2"/>
            <w:hideMark/>
          </w:tcPr>
          <w:p w14:paraId="07F41220"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Separate the facts from speculation and opinions</w:t>
            </w:r>
          </w:p>
        </w:tc>
        <w:tc>
          <w:tcPr>
            <w:tcW w:w="700" w:type="pct"/>
            <w:shd w:val="clear" w:color="auto" w:fill="F2F2F2" w:themeFill="background1" w:themeFillShade="F2"/>
            <w:hideMark/>
          </w:tcPr>
          <w:p w14:paraId="3968061B" w14:textId="37651611"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710B8C29" w14:textId="77777777" w:rsidTr="002C5C13">
        <w:tc>
          <w:tcPr>
            <w:tcW w:w="4300" w:type="pct"/>
            <w:shd w:val="clear" w:color="auto" w:fill="D9D9D9" w:themeFill="background1" w:themeFillShade="D9"/>
            <w:hideMark/>
          </w:tcPr>
          <w:p w14:paraId="48A158A9"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lastRenderedPageBreak/>
              <w:t>Be impartial and objective, avoiding judgment and blaming</w:t>
            </w:r>
          </w:p>
        </w:tc>
        <w:tc>
          <w:tcPr>
            <w:tcW w:w="700" w:type="pct"/>
            <w:shd w:val="clear" w:color="auto" w:fill="D9D9D9" w:themeFill="background1" w:themeFillShade="D9"/>
            <w:hideMark/>
          </w:tcPr>
          <w:p w14:paraId="70D330FF" w14:textId="41F2C44C"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151E3761" w14:textId="77777777" w:rsidTr="002C5C13">
        <w:tc>
          <w:tcPr>
            <w:tcW w:w="4300" w:type="pct"/>
            <w:shd w:val="clear" w:color="auto" w:fill="F2F2F2" w:themeFill="background1" w:themeFillShade="F2"/>
            <w:hideMark/>
          </w:tcPr>
          <w:p w14:paraId="630D05E4"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Ensure communication is clear and careful</w:t>
            </w:r>
          </w:p>
        </w:tc>
        <w:tc>
          <w:tcPr>
            <w:tcW w:w="700" w:type="pct"/>
            <w:shd w:val="clear" w:color="auto" w:fill="F2F2F2" w:themeFill="background1" w:themeFillShade="F2"/>
            <w:hideMark/>
          </w:tcPr>
          <w:p w14:paraId="05A7E58E" w14:textId="19617C64"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5563E688" w14:textId="77777777" w:rsidTr="002C5C13">
        <w:tc>
          <w:tcPr>
            <w:tcW w:w="4300" w:type="pct"/>
            <w:shd w:val="clear" w:color="auto" w:fill="D9D9D9" w:themeFill="background1" w:themeFillShade="D9"/>
            <w:hideMark/>
          </w:tcPr>
          <w:p w14:paraId="433F3FF5"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Find out what documents are relevant</w:t>
            </w:r>
          </w:p>
        </w:tc>
        <w:tc>
          <w:tcPr>
            <w:tcW w:w="700" w:type="pct"/>
            <w:shd w:val="clear" w:color="auto" w:fill="D9D9D9" w:themeFill="background1" w:themeFillShade="D9"/>
            <w:hideMark/>
          </w:tcPr>
          <w:p w14:paraId="6C856AED" w14:textId="7C0DEB33"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6B66172B" w14:textId="77777777" w:rsidTr="002C5C13">
        <w:tc>
          <w:tcPr>
            <w:tcW w:w="4300" w:type="pct"/>
            <w:shd w:val="clear" w:color="auto" w:fill="F2F2F2" w:themeFill="background1" w:themeFillShade="F2"/>
            <w:hideMark/>
          </w:tcPr>
          <w:p w14:paraId="748FC08D"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Ascertain whether WHS reporting requirements have been implemented</w:t>
            </w:r>
          </w:p>
        </w:tc>
        <w:tc>
          <w:tcPr>
            <w:tcW w:w="700" w:type="pct"/>
            <w:shd w:val="clear" w:color="auto" w:fill="F2F2F2" w:themeFill="background1" w:themeFillShade="F2"/>
            <w:hideMark/>
          </w:tcPr>
          <w:p w14:paraId="49DAD68F" w14:textId="3D050873"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5E5D9754" w14:textId="77777777" w:rsidTr="002C5C13">
        <w:tc>
          <w:tcPr>
            <w:tcW w:w="4300" w:type="pct"/>
            <w:shd w:val="clear" w:color="auto" w:fill="D9D9D9" w:themeFill="background1" w:themeFillShade="D9"/>
            <w:hideMark/>
          </w:tcPr>
          <w:p w14:paraId="4693CA0D"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Ascertain whether a breach of employer policy or procedure has occurred</w:t>
            </w:r>
          </w:p>
        </w:tc>
        <w:tc>
          <w:tcPr>
            <w:tcW w:w="700" w:type="pct"/>
            <w:shd w:val="clear" w:color="auto" w:fill="D9D9D9" w:themeFill="background1" w:themeFillShade="D9"/>
            <w:hideMark/>
          </w:tcPr>
          <w:p w14:paraId="2EBB3143" w14:textId="0522069D"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1F7F8B8C" w14:textId="77777777" w:rsidTr="002C5C13">
        <w:tc>
          <w:tcPr>
            <w:tcW w:w="4300" w:type="pct"/>
            <w:shd w:val="clear" w:color="auto" w:fill="F2F2F2" w:themeFill="background1" w:themeFillShade="F2"/>
            <w:hideMark/>
          </w:tcPr>
          <w:p w14:paraId="47835000"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Make a finding as to how the injury occurred and what caused the injury</w:t>
            </w:r>
          </w:p>
        </w:tc>
        <w:tc>
          <w:tcPr>
            <w:tcW w:w="700" w:type="pct"/>
            <w:shd w:val="clear" w:color="auto" w:fill="F2F2F2" w:themeFill="background1" w:themeFillShade="F2"/>
            <w:hideMark/>
          </w:tcPr>
          <w:p w14:paraId="13A0EBB7" w14:textId="0564588E"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58DDC086" w14:textId="77777777" w:rsidTr="002C5C13">
        <w:tc>
          <w:tcPr>
            <w:tcW w:w="4300" w:type="pct"/>
            <w:shd w:val="clear" w:color="auto" w:fill="D9D9D9" w:themeFill="background1" w:themeFillShade="D9"/>
            <w:hideMark/>
          </w:tcPr>
          <w:p w14:paraId="7B1938F2"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Make recommendations as to corrective outcomes, that is focus on how future similar incidents can be prevented</w:t>
            </w:r>
          </w:p>
        </w:tc>
        <w:tc>
          <w:tcPr>
            <w:tcW w:w="700" w:type="pct"/>
            <w:shd w:val="clear" w:color="auto" w:fill="D9D9D9" w:themeFill="background1" w:themeFillShade="D9"/>
            <w:hideMark/>
          </w:tcPr>
          <w:p w14:paraId="11AA99DF" w14:textId="75A5F6CE"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50A0E852" w14:textId="77777777" w:rsidTr="002C5C13">
        <w:tc>
          <w:tcPr>
            <w:tcW w:w="4300" w:type="pct"/>
            <w:shd w:val="clear" w:color="auto" w:fill="F2F2F2" w:themeFill="background1" w:themeFillShade="F2"/>
            <w:hideMark/>
          </w:tcPr>
          <w:p w14:paraId="4E2FBD94"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Implement the recommendations</w:t>
            </w:r>
          </w:p>
        </w:tc>
        <w:tc>
          <w:tcPr>
            <w:tcW w:w="700" w:type="pct"/>
            <w:shd w:val="clear" w:color="auto" w:fill="F2F2F2" w:themeFill="background1" w:themeFillShade="F2"/>
            <w:hideMark/>
          </w:tcPr>
          <w:p w14:paraId="1888BBFF" w14:textId="6C43E2F8"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7F5ABA53" w14:textId="77777777" w:rsidTr="002C5C13">
        <w:tc>
          <w:tcPr>
            <w:tcW w:w="4300" w:type="pct"/>
            <w:shd w:val="clear" w:color="auto" w:fill="006EB0" w:themeFill="accent1"/>
            <w:hideMark/>
          </w:tcPr>
          <w:p w14:paraId="47FD84F4" w14:textId="77777777" w:rsidR="003F0BA9" w:rsidRPr="00A64015" w:rsidRDefault="003F0BA9">
            <w:pPr>
              <w:pStyle w:val="Heading2"/>
              <w:spacing w:before="0"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Checklist for notifying your State’s WHS/OHS Statutory Authority</w:t>
            </w:r>
          </w:p>
        </w:tc>
        <w:tc>
          <w:tcPr>
            <w:tcW w:w="700" w:type="pct"/>
            <w:shd w:val="clear" w:color="auto" w:fill="006EB0" w:themeFill="accent1"/>
            <w:hideMark/>
          </w:tcPr>
          <w:p w14:paraId="63E26572"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 </w:t>
            </w:r>
          </w:p>
        </w:tc>
      </w:tr>
      <w:tr w:rsidR="003F0BA9" w14:paraId="3D7AEB2D" w14:textId="77777777" w:rsidTr="002C5C13">
        <w:tc>
          <w:tcPr>
            <w:tcW w:w="4300" w:type="pct"/>
            <w:shd w:val="clear" w:color="auto" w:fill="D9D9D9" w:themeFill="background1" w:themeFillShade="D9"/>
            <w:hideMark/>
          </w:tcPr>
          <w:p w14:paraId="56AB0247"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 xml:space="preserve">Check the statutory period for notifying your WHS/OHS Authority, which depending on circumstances will sometimes be immediate. Online notification is available in many jurisdictions but should not be used where immediate notification is required for ‘serious </w:t>
            </w:r>
            <w:proofErr w:type="gramStart"/>
            <w:r w:rsidRPr="00A64015">
              <w:rPr>
                <w:rFonts w:asciiTheme="minorHAnsi" w:hAnsiTheme="minorHAnsi" w:cstheme="minorHAnsi"/>
                <w:sz w:val="22"/>
                <w:szCs w:val="22"/>
              </w:rPr>
              <w:t>incidents’</w:t>
            </w:r>
            <w:proofErr w:type="gramEnd"/>
            <w:r w:rsidRPr="00A64015">
              <w:rPr>
                <w:rFonts w:asciiTheme="minorHAnsi" w:hAnsiTheme="minorHAnsi" w:cstheme="minorHAnsi"/>
                <w:sz w:val="22"/>
                <w:szCs w:val="22"/>
              </w:rPr>
              <w:t>. In some jurisdictions, if you contact your insurer, it may notify your WHS/OHS Authority for you, you should confirm this with your insurer.</w:t>
            </w:r>
          </w:p>
        </w:tc>
        <w:tc>
          <w:tcPr>
            <w:tcW w:w="700" w:type="pct"/>
            <w:shd w:val="clear" w:color="auto" w:fill="D9D9D9" w:themeFill="background1" w:themeFillShade="D9"/>
            <w:hideMark/>
          </w:tcPr>
          <w:p w14:paraId="79834F02" w14:textId="03672521"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05AA36DE" w14:textId="77777777" w:rsidTr="002C5C13">
        <w:tc>
          <w:tcPr>
            <w:tcW w:w="4300" w:type="pct"/>
            <w:shd w:val="clear" w:color="auto" w:fill="006EB0" w:themeFill="accent1"/>
            <w:hideMark/>
          </w:tcPr>
          <w:p w14:paraId="2F9CE31B"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WHS/OHS Authority inspectors have powers that are broader than police powers in respect of workplaces. They can include the power to:</w:t>
            </w:r>
          </w:p>
        </w:tc>
        <w:tc>
          <w:tcPr>
            <w:tcW w:w="700" w:type="pct"/>
            <w:shd w:val="clear" w:color="auto" w:fill="006EB0" w:themeFill="accent1"/>
            <w:hideMark/>
          </w:tcPr>
          <w:p w14:paraId="30C160C5"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 </w:t>
            </w:r>
          </w:p>
        </w:tc>
      </w:tr>
      <w:tr w:rsidR="003F0BA9" w14:paraId="1EC60198" w14:textId="77777777" w:rsidTr="002C5C13">
        <w:tc>
          <w:tcPr>
            <w:tcW w:w="4300" w:type="pct"/>
            <w:shd w:val="clear" w:color="auto" w:fill="F2F2F2" w:themeFill="background1" w:themeFillShade="F2"/>
            <w:hideMark/>
          </w:tcPr>
          <w:p w14:paraId="6E079932"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Enter and search workplaces — the inspector must carry a permit and you should ask to see it</w:t>
            </w:r>
          </w:p>
        </w:tc>
        <w:tc>
          <w:tcPr>
            <w:tcW w:w="700" w:type="pct"/>
            <w:shd w:val="clear" w:color="auto" w:fill="F2F2F2" w:themeFill="background1" w:themeFillShade="F2"/>
            <w:hideMark/>
          </w:tcPr>
          <w:p w14:paraId="348CF5FF" w14:textId="7DA015E6"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120E7800" w14:textId="77777777" w:rsidTr="002C5C13">
        <w:tc>
          <w:tcPr>
            <w:tcW w:w="4300" w:type="pct"/>
            <w:shd w:val="clear" w:color="auto" w:fill="D9D9D9" w:themeFill="background1" w:themeFillShade="D9"/>
            <w:hideMark/>
          </w:tcPr>
          <w:p w14:paraId="2D37E269"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 xml:space="preserve">Inspect, measure, </w:t>
            </w:r>
            <w:proofErr w:type="gramStart"/>
            <w:r w:rsidRPr="00A64015">
              <w:rPr>
                <w:rFonts w:asciiTheme="minorHAnsi" w:hAnsiTheme="minorHAnsi" w:cstheme="minorHAnsi"/>
                <w:sz w:val="22"/>
                <w:szCs w:val="22"/>
              </w:rPr>
              <w:t>test</w:t>
            </w:r>
            <w:proofErr w:type="gramEnd"/>
            <w:r w:rsidRPr="00A64015">
              <w:rPr>
                <w:rFonts w:asciiTheme="minorHAnsi" w:hAnsiTheme="minorHAnsi" w:cstheme="minorHAnsi"/>
                <w:sz w:val="22"/>
                <w:szCs w:val="22"/>
              </w:rPr>
              <w:t xml:space="preserve"> and photograph objects, etc</w:t>
            </w:r>
          </w:p>
        </w:tc>
        <w:tc>
          <w:tcPr>
            <w:tcW w:w="700" w:type="pct"/>
            <w:shd w:val="clear" w:color="auto" w:fill="D9D9D9" w:themeFill="background1" w:themeFillShade="D9"/>
            <w:hideMark/>
          </w:tcPr>
          <w:p w14:paraId="53F5A6D7" w14:textId="018BFB86"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7A90BC69" w14:textId="77777777" w:rsidTr="002C5C13">
        <w:tc>
          <w:tcPr>
            <w:tcW w:w="4300" w:type="pct"/>
            <w:shd w:val="clear" w:color="auto" w:fill="F2F2F2" w:themeFill="background1" w:themeFillShade="F2"/>
            <w:hideMark/>
          </w:tcPr>
          <w:p w14:paraId="501E4F12"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 xml:space="preserve">Take objects, </w:t>
            </w:r>
            <w:proofErr w:type="gramStart"/>
            <w:r w:rsidRPr="00A64015">
              <w:rPr>
                <w:rFonts w:asciiTheme="minorHAnsi" w:hAnsiTheme="minorHAnsi" w:cstheme="minorHAnsi"/>
                <w:sz w:val="22"/>
                <w:szCs w:val="22"/>
              </w:rPr>
              <w:t>materials</w:t>
            </w:r>
            <w:proofErr w:type="gramEnd"/>
            <w:r w:rsidRPr="00A64015">
              <w:rPr>
                <w:rFonts w:asciiTheme="minorHAnsi" w:hAnsiTheme="minorHAnsi" w:cstheme="minorHAnsi"/>
                <w:sz w:val="22"/>
                <w:szCs w:val="22"/>
              </w:rPr>
              <w:t xml:space="preserve"> or samples of them away for analysis</w:t>
            </w:r>
          </w:p>
        </w:tc>
        <w:tc>
          <w:tcPr>
            <w:tcW w:w="700" w:type="pct"/>
            <w:shd w:val="clear" w:color="auto" w:fill="F2F2F2" w:themeFill="background1" w:themeFillShade="F2"/>
            <w:hideMark/>
          </w:tcPr>
          <w:p w14:paraId="35CC52C9" w14:textId="28D6EBB6"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22EDF876" w14:textId="77777777" w:rsidTr="002C5C13">
        <w:tc>
          <w:tcPr>
            <w:tcW w:w="4300" w:type="pct"/>
            <w:shd w:val="clear" w:color="auto" w:fill="D9D9D9" w:themeFill="background1" w:themeFillShade="D9"/>
            <w:hideMark/>
          </w:tcPr>
          <w:p w14:paraId="1D990EB8"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Require people to produce documents, give evidence and answer questions</w:t>
            </w:r>
          </w:p>
        </w:tc>
        <w:tc>
          <w:tcPr>
            <w:tcW w:w="700" w:type="pct"/>
            <w:shd w:val="clear" w:color="auto" w:fill="D9D9D9" w:themeFill="background1" w:themeFillShade="D9"/>
            <w:hideMark/>
          </w:tcPr>
          <w:p w14:paraId="13D66504" w14:textId="7C8B6678"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759C4272" w14:textId="77777777" w:rsidTr="002C5C13">
        <w:tc>
          <w:tcPr>
            <w:tcW w:w="4300" w:type="pct"/>
            <w:shd w:val="clear" w:color="auto" w:fill="F2F2F2" w:themeFill="background1" w:themeFillShade="F2"/>
            <w:hideMark/>
          </w:tcPr>
          <w:p w14:paraId="1E618E93"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Issue notices under the relevant State’s WHS/OHS Act, for example giving details of the types of documents they require</w:t>
            </w:r>
          </w:p>
        </w:tc>
        <w:tc>
          <w:tcPr>
            <w:tcW w:w="700" w:type="pct"/>
            <w:shd w:val="clear" w:color="auto" w:fill="F2F2F2" w:themeFill="background1" w:themeFillShade="F2"/>
            <w:hideMark/>
          </w:tcPr>
          <w:p w14:paraId="1FA770BA" w14:textId="5B057926"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6F2328F4" w14:textId="77777777" w:rsidTr="002C5C13">
        <w:tc>
          <w:tcPr>
            <w:tcW w:w="4300" w:type="pct"/>
            <w:shd w:val="clear" w:color="auto" w:fill="006EB0" w:themeFill="accent1"/>
            <w:hideMark/>
          </w:tcPr>
          <w:p w14:paraId="06ADF612" w14:textId="77777777" w:rsidR="003F0BA9" w:rsidRPr="00A64015" w:rsidRDefault="003F0BA9">
            <w:pPr>
              <w:pStyle w:val="Heading2"/>
              <w:spacing w:before="0"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Checklist for documents which may be requested</w:t>
            </w:r>
          </w:p>
        </w:tc>
        <w:tc>
          <w:tcPr>
            <w:tcW w:w="700" w:type="pct"/>
            <w:shd w:val="clear" w:color="auto" w:fill="006EB0" w:themeFill="accent1"/>
            <w:hideMark/>
          </w:tcPr>
          <w:p w14:paraId="5AC5BE52"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 </w:t>
            </w:r>
          </w:p>
        </w:tc>
      </w:tr>
      <w:tr w:rsidR="003F0BA9" w14:paraId="3869E1CB" w14:textId="77777777" w:rsidTr="002C5C13">
        <w:tc>
          <w:tcPr>
            <w:tcW w:w="4300" w:type="pct"/>
            <w:shd w:val="clear" w:color="auto" w:fill="D9D9D9" w:themeFill="background1" w:themeFillShade="D9"/>
            <w:hideMark/>
          </w:tcPr>
          <w:p w14:paraId="32E6F853"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Where documents are requested, ask that the request be made in writing and be specific. Whilst inspectors can seek documents without putting their request in writing, explain that you want to provide accurate and relevant information and may need some time to collate it.</w:t>
            </w:r>
          </w:p>
        </w:tc>
        <w:tc>
          <w:tcPr>
            <w:tcW w:w="700" w:type="pct"/>
            <w:shd w:val="clear" w:color="auto" w:fill="D9D9D9" w:themeFill="background1" w:themeFillShade="D9"/>
            <w:hideMark/>
          </w:tcPr>
          <w:p w14:paraId="61D16057" w14:textId="7E32BCEC"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379FFEF3" w14:textId="77777777" w:rsidTr="002C5C13">
        <w:tc>
          <w:tcPr>
            <w:tcW w:w="4300" w:type="pct"/>
            <w:shd w:val="clear" w:color="auto" w:fill="F2F2F2" w:themeFill="background1" w:themeFillShade="F2"/>
            <w:hideMark/>
          </w:tcPr>
          <w:p w14:paraId="5107E9B5"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lastRenderedPageBreak/>
              <w:t xml:space="preserve">Keep copies of any documents you give to the WHS/OHS Authority inspector. For example, in New South Wales, the Statutory Authority — </w:t>
            </w:r>
            <w:proofErr w:type="spellStart"/>
            <w:r w:rsidRPr="00A64015">
              <w:rPr>
                <w:rFonts w:asciiTheme="minorHAnsi" w:hAnsiTheme="minorHAnsi" w:cstheme="minorHAnsi"/>
                <w:sz w:val="22"/>
                <w:szCs w:val="22"/>
              </w:rPr>
              <w:t>WorkCover</w:t>
            </w:r>
            <w:proofErr w:type="spellEnd"/>
            <w:r w:rsidRPr="00A64015">
              <w:rPr>
                <w:rFonts w:asciiTheme="minorHAnsi" w:hAnsiTheme="minorHAnsi" w:cstheme="minorHAnsi"/>
                <w:sz w:val="22"/>
                <w:szCs w:val="22"/>
              </w:rPr>
              <w:t xml:space="preserve"> may elect to prosecute an employer up to two years after an incident occurs. This in turn could take a year or so to reach the court. Recollections after almost a three-year period can be difficult, so get the facts on record at the time and keep a record.</w:t>
            </w:r>
          </w:p>
        </w:tc>
        <w:tc>
          <w:tcPr>
            <w:tcW w:w="700" w:type="pct"/>
            <w:shd w:val="clear" w:color="auto" w:fill="F2F2F2" w:themeFill="background1" w:themeFillShade="F2"/>
            <w:hideMark/>
          </w:tcPr>
          <w:p w14:paraId="379DB11A" w14:textId="79689FF7"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3701BCEF" w14:textId="77777777" w:rsidTr="002C5C13">
        <w:tc>
          <w:tcPr>
            <w:tcW w:w="4300" w:type="pct"/>
            <w:shd w:val="clear" w:color="auto" w:fill="D9D9D9" w:themeFill="background1" w:themeFillShade="D9"/>
            <w:hideMark/>
          </w:tcPr>
          <w:p w14:paraId="10047537"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 xml:space="preserve">Legal privilege: in some </w:t>
            </w:r>
            <w:proofErr w:type="gramStart"/>
            <w:r w:rsidRPr="00A64015">
              <w:rPr>
                <w:rFonts w:asciiTheme="minorHAnsi" w:hAnsiTheme="minorHAnsi" w:cstheme="minorHAnsi"/>
                <w:sz w:val="22"/>
                <w:szCs w:val="22"/>
              </w:rPr>
              <w:t>instances</w:t>
            </w:r>
            <w:proofErr w:type="gramEnd"/>
            <w:r w:rsidRPr="00A64015">
              <w:rPr>
                <w:rFonts w:asciiTheme="minorHAnsi" w:hAnsiTheme="minorHAnsi" w:cstheme="minorHAnsi"/>
                <w:sz w:val="22"/>
                <w:szCs w:val="22"/>
              </w:rPr>
              <w:t xml:space="preserve"> a document can be withheld from the WHS/OHS Statutory Authority on the ground of legal professional privilege. This is not often the case, but where the document has been </w:t>
            </w:r>
            <w:r w:rsidRPr="00A64015">
              <w:rPr>
                <w:rFonts w:asciiTheme="minorHAnsi" w:hAnsiTheme="minorHAnsi" w:cstheme="minorHAnsi"/>
                <w:sz w:val="22"/>
                <w:szCs w:val="22"/>
                <w:shd w:val="clear" w:color="auto" w:fill="BFBFBF" w:themeFill="background1" w:themeFillShade="BF"/>
              </w:rPr>
              <w:t xml:space="preserve">created </w:t>
            </w:r>
            <w:proofErr w:type="gramStart"/>
            <w:r w:rsidRPr="00A64015">
              <w:rPr>
                <w:rFonts w:asciiTheme="minorHAnsi" w:hAnsiTheme="minorHAnsi" w:cstheme="minorHAnsi"/>
                <w:sz w:val="22"/>
                <w:szCs w:val="22"/>
                <w:shd w:val="clear" w:color="auto" w:fill="BFBFBF" w:themeFill="background1" w:themeFillShade="BF"/>
              </w:rPr>
              <w:t>in order to</w:t>
            </w:r>
            <w:proofErr w:type="gramEnd"/>
            <w:r w:rsidRPr="00A64015">
              <w:rPr>
                <w:rFonts w:asciiTheme="minorHAnsi" w:hAnsiTheme="minorHAnsi" w:cstheme="minorHAnsi"/>
                <w:sz w:val="22"/>
                <w:szCs w:val="22"/>
                <w:shd w:val="clear" w:color="auto" w:fill="BFBFBF" w:themeFill="background1" w:themeFillShade="BF"/>
              </w:rPr>
              <w:t xml:space="preserve"> obtain legal </w:t>
            </w:r>
            <w:r w:rsidRPr="00A64015">
              <w:rPr>
                <w:rFonts w:asciiTheme="minorHAnsi" w:hAnsiTheme="minorHAnsi" w:cstheme="minorHAnsi"/>
                <w:sz w:val="22"/>
                <w:szCs w:val="22"/>
              </w:rPr>
              <w:t>advice, or in preparation for litigation, before providing it, seek advice.</w:t>
            </w:r>
          </w:p>
        </w:tc>
        <w:tc>
          <w:tcPr>
            <w:tcW w:w="700" w:type="pct"/>
            <w:shd w:val="clear" w:color="auto" w:fill="D9D9D9" w:themeFill="background1" w:themeFillShade="D9"/>
            <w:hideMark/>
          </w:tcPr>
          <w:p w14:paraId="161176A8" w14:textId="17DD2D07"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1DEEEFE2" w14:textId="77777777" w:rsidTr="002C5C13">
        <w:tc>
          <w:tcPr>
            <w:tcW w:w="4300" w:type="pct"/>
            <w:shd w:val="clear" w:color="auto" w:fill="006EB0" w:themeFill="accent1"/>
            <w:hideMark/>
          </w:tcPr>
          <w:p w14:paraId="58B9F59D" w14:textId="77777777" w:rsidR="003F0BA9" w:rsidRPr="00A64015" w:rsidRDefault="003F0BA9">
            <w:pPr>
              <w:pStyle w:val="Heading2"/>
              <w:spacing w:before="0"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Other</w:t>
            </w:r>
          </w:p>
        </w:tc>
        <w:tc>
          <w:tcPr>
            <w:tcW w:w="700" w:type="pct"/>
            <w:shd w:val="clear" w:color="auto" w:fill="006EB0" w:themeFill="accent1"/>
            <w:hideMark/>
          </w:tcPr>
          <w:p w14:paraId="71106B3D" w14:textId="77777777" w:rsidR="003F0BA9" w:rsidRPr="00A64015" w:rsidRDefault="003F0BA9">
            <w:pPr>
              <w:pStyle w:val="BodyText"/>
              <w:spacing w:line="276" w:lineRule="auto"/>
              <w:rPr>
                <w:rFonts w:asciiTheme="minorHAnsi" w:hAnsiTheme="minorHAnsi" w:cstheme="minorHAnsi"/>
                <w:snapToGrid w:val="0"/>
                <w:color w:val="FFFFFF" w:themeColor="background1"/>
                <w:sz w:val="22"/>
                <w:szCs w:val="22"/>
              </w:rPr>
            </w:pPr>
            <w:r w:rsidRPr="00A64015">
              <w:rPr>
                <w:rFonts w:asciiTheme="minorHAnsi" w:hAnsiTheme="minorHAnsi" w:cstheme="minorHAnsi"/>
                <w:color w:val="FFFFFF" w:themeColor="background1"/>
                <w:sz w:val="22"/>
                <w:szCs w:val="22"/>
              </w:rPr>
              <w:t> </w:t>
            </w:r>
          </w:p>
        </w:tc>
      </w:tr>
      <w:tr w:rsidR="003F0BA9" w14:paraId="5CE4E9BD" w14:textId="77777777" w:rsidTr="002C5C13">
        <w:tc>
          <w:tcPr>
            <w:tcW w:w="4300" w:type="pct"/>
            <w:shd w:val="clear" w:color="auto" w:fill="F2F2F2" w:themeFill="background1" w:themeFillShade="F2"/>
            <w:hideMark/>
          </w:tcPr>
          <w:p w14:paraId="72757A27"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Complete your workplace register of injuries as soon as possible</w:t>
            </w:r>
          </w:p>
        </w:tc>
        <w:tc>
          <w:tcPr>
            <w:tcW w:w="700" w:type="pct"/>
            <w:shd w:val="clear" w:color="auto" w:fill="F2F2F2" w:themeFill="background1" w:themeFillShade="F2"/>
            <w:hideMark/>
          </w:tcPr>
          <w:p w14:paraId="1FDC2E32" w14:textId="124B538E"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7422A77A" w14:textId="77777777" w:rsidTr="002C5C13">
        <w:tc>
          <w:tcPr>
            <w:tcW w:w="4300" w:type="pct"/>
            <w:shd w:val="clear" w:color="auto" w:fill="D9D9D9" w:themeFill="background1" w:themeFillShade="D9"/>
            <w:hideMark/>
          </w:tcPr>
          <w:p w14:paraId="54E7CCA1"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Request employee to provide a medical certificate supporting any absences and opining a cause for the injury/illness</w:t>
            </w:r>
          </w:p>
        </w:tc>
        <w:tc>
          <w:tcPr>
            <w:tcW w:w="700" w:type="pct"/>
            <w:shd w:val="clear" w:color="auto" w:fill="D9D9D9" w:themeFill="background1" w:themeFillShade="D9"/>
            <w:hideMark/>
          </w:tcPr>
          <w:p w14:paraId="5BA21594" w14:textId="6725FC37"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38DECB88" w14:textId="77777777" w:rsidTr="002C5C13">
        <w:tc>
          <w:tcPr>
            <w:tcW w:w="4300" w:type="pct"/>
            <w:shd w:val="clear" w:color="auto" w:fill="F2F2F2" w:themeFill="background1" w:themeFillShade="F2"/>
            <w:hideMark/>
          </w:tcPr>
          <w:p w14:paraId="707FF5EB"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Maintain a workers compensation insurance policy</w:t>
            </w:r>
          </w:p>
        </w:tc>
        <w:tc>
          <w:tcPr>
            <w:tcW w:w="700" w:type="pct"/>
            <w:shd w:val="clear" w:color="auto" w:fill="F2F2F2" w:themeFill="background1" w:themeFillShade="F2"/>
            <w:hideMark/>
          </w:tcPr>
          <w:p w14:paraId="780A2949" w14:textId="245444F5"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0AB6BE88" w14:textId="77777777" w:rsidTr="002C5C13">
        <w:tc>
          <w:tcPr>
            <w:tcW w:w="4300" w:type="pct"/>
            <w:shd w:val="clear" w:color="auto" w:fill="D9D9D9" w:themeFill="background1" w:themeFillShade="D9"/>
            <w:hideMark/>
          </w:tcPr>
          <w:p w14:paraId="5632FD8B"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Do not dismiss an injured employee without first seeking legal advice and consulting with your insurer</w:t>
            </w:r>
          </w:p>
        </w:tc>
        <w:tc>
          <w:tcPr>
            <w:tcW w:w="700" w:type="pct"/>
            <w:shd w:val="clear" w:color="auto" w:fill="D9D9D9" w:themeFill="background1" w:themeFillShade="D9"/>
            <w:hideMark/>
          </w:tcPr>
          <w:p w14:paraId="7D358EDD" w14:textId="4B00DCC9"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p>
        </w:tc>
      </w:tr>
      <w:tr w:rsidR="003F0BA9" w14:paraId="0FFFCF1B" w14:textId="77777777" w:rsidTr="002C5C13">
        <w:tc>
          <w:tcPr>
            <w:tcW w:w="4300" w:type="pct"/>
            <w:shd w:val="clear" w:color="auto" w:fill="F2F2F2" w:themeFill="background1" w:themeFillShade="F2"/>
            <w:hideMark/>
          </w:tcPr>
          <w:p w14:paraId="1FB81FD4"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Provide all requested documents to your insurer</w:t>
            </w:r>
          </w:p>
        </w:tc>
        <w:tc>
          <w:tcPr>
            <w:tcW w:w="700" w:type="pct"/>
            <w:shd w:val="clear" w:color="auto" w:fill="F2F2F2" w:themeFill="background1" w:themeFillShade="F2"/>
            <w:hideMark/>
          </w:tcPr>
          <w:p w14:paraId="75A9D93C" w14:textId="7B22E65B"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2ECA79F3" w14:textId="77777777" w:rsidTr="002C5C13">
        <w:tc>
          <w:tcPr>
            <w:tcW w:w="4300" w:type="pct"/>
            <w:shd w:val="clear" w:color="auto" w:fill="D9D9D9" w:themeFill="background1" w:themeFillShade="D9"/>
            <w:hideMark/>
          </w:tcPr>
          <w:p w14:paraId="63B8FF78"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Liaise with the employee’s return to work co-ordinator</w:t>
            </w:r>
          </w:p>
        </w:tc>
        <w:tc>
          <w:tcPr>
            <w:tcW w:w="700" w:type="pct"/>
            <w:shd w:val="clear" w:color="auto" w:fill="D9D9D9" w:themeFill="background1" w:themeFillShade="D9"/>
            <w:hideMark/>
          </w:tcPr>
          <w:p w14:paraId="4B2D956E" w14:textId="04EC1B03"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7E6DDE1E" w14:textId="77777777" w:rsidTr="002C5C13">
        <w:tc>
          <w:tcPr>
            <w:tcW w:w="4300" w:type="pct"/>
            <w:shd w:val="clear" w:color="auto" w:fill="F2F2F2" w:themeFill="background1" w:themeFillShade="F2"/>
            <w:hideMark/>
          </w:tcPr>
          <w:p w14:paraId="28B522B7"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Endeavour to return the employee to work</w:t>
            </w:r>
          </w:p>
        </w:tc>
        <w:tc>
          <w:tcPr>
            <w:tcW w:w="700" w:type="pct"/>
            <w:shd w:val="clear" w:color="auto" w:fill="F2F2F2" w:themeFill="background1" w:themeFillShade="F2"/>
            <w:hideMark/>
          </w:tcPr>
          <w:p w14:paraId="48018C3D" w14:textId="70D4EF92"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040A98A0" w14:textId="77777777" w:rsidTr="002C5C13">
        <w:tc>
          <w:tcPr>
            <w:tcW w:w="4300" w:type="pct"/>
            <w:shd w:val="clear" w:color="auto" w:fill="D9D9D9" w:themeFill="background1" w:themeFillShade="D9"/>
            <w:hideMark/>
          </w:tcPr>
          <w:p w14:paraId="57EF1C8F"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Keep records of the employees’ absences from work</w:t>
            </w:r>
          </w:p>
        </w:tc>
        <w:tc>
          <w:tcPr>
            <w:tcW w:w="700" w:type="pct"/>
            <w:shd w:val="clear" w:color="auto" w:fill="D9D9D9" w:themeFill="background1" w:themeFillShade="D9"/>
            <w:hideMark/>
          </w:tcPr>
          <w:p w14:paraId="0B2776F0" w14:textId="33F797B2"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r w:rsidR="003F0BA9" w14:paraId="7FC3721B" w14:textId="77777777" w:rsidTr="002C5C13">
        <w:tc>
          <w:tcPr>
            <w:tcW w:w="4300" w:type="pct"/>
            <w:shd w:val="clear" w:color="auto" w:fill="F2F2F2" w:themeFill="background1" w:themeFillShade="F2"/>
            <w:hideMark/>
          </w:tcPr>
          <w:p w14:paraId="258DF7E3" w14:textId="77777777" w:rsidR="003F0BA9" w:rsidRPr="00A64015" w:rsidRDefault="003F0BA9">
            <w:pPr>
              <w:pStyle w:val="BodyText"/>
              <w:spacing w:line="276" w:lineRule="auto"/>
              <w:rPr>
                <w:rFonts w:asciiTheme="minorHAnsi" w:hAnsiTheme="minorHAnsi" w:cstheme="minorHAnsi"/>
                <w:snapToGrid w:val="0"/>
                <w:sz w:val="22"/>
                <w:szCs w:val="22"/>
              </w:rPr>
            </w:pPr>
            <w:r w:rsidRPr="00A64015">
              <w:rPr>
                <w:rFonts w:asciiTheme="minorHAnsi" w:hAnsiTheme="minorHAnsi" w:cstheme="minorHAnsi"/>
                <w:sz w:val="22"/>
                <w:szCs w:val="22"/>
              </w:rPr>
              <w:t>Continue to obtain up-to-date medical certificates indicating the employee’s capacity to work and restrictions</w:t>
            </w:r>
          </w:p>
        </w:tc>
        <w:tc>
          <w:tcPr>
            <w:tcW w:w="700" w:type="pct"/>
            <w:shd w:val="clear" w:color="auto" w:fill="F2F2F2" w:themeFill="background1" w:themeFillShade="F2"/>
            <w:hideMark/>
          </w:tcPr>
          <w:p w14:paraId="526B7710" w14:textId="3C83519E" w:rsidR="003F0BA9" w:rsidRPr="00A64015" w:rsidRDefault="00A64015" w:rsidP="00A64015">
            <w:pPr>
              <w:pStyle w:val="ChecklistItem"/>
              <w:numPr>
                <w:ilvl w:val="0"/>
                <w:numId w:val="0"/>
              </w:numPr>
              <w:spacing w:line="276" w:lineRule="auto"/>
              <w:ind w:left="720" w:hanging="360"/>
              <w:rPr>
                <w:rFonts w:asciiTheme="minorHAnsi" w:hAnsiTheme="minorHAnsi" w:cstheme="minorHAnsi"/>
                <w:snapToGrid w:val="0"/>
                <w:sz w:val="22"/>
                <w:szCs w:val="22"/>
              </w:rPr>
            </w:pPr>
            <w:r>
              <w:rPr>
                <w:rFonts w:asciiTheme="minorHAnsi" w:hAnsiTheme="minorHAnsi" w:cstheme="minorHAnsi"/>
                <w:snapToGrid w:val="0"/>
                <w:sz w:val="22"/>
                <w:szCs w:val="22"/>
              </w:rPr>
              <w:fldChar w:fldCharType="begin">
                <w:ffData>
                  <w:name w:val="Check1"/>
                  <w:enabled/>
                  <w:calcOnExit w:val="0"/>
                  <w:checkBox>
                    <w:size w:val="16"/>
                    <w:default w:val="0"/>
                  </w:checkBox>
                </w:ffData>
              </w:fldChar>
            </w:r>
            <w:r>
              <w:rPr>
                <w:rFonts w:asciiTheme="minorHAnsi" w:hAnsiTheme="minorHAnsi" w:cstheme="minorHAnsi"/>
                <w:snapToGrid w:val="0"/>
                <w:sz w:val="22"/>
                <w:szCs w:val="22"/>
              </w:rPr>
              <w:instrText xml:space="preserve"> FORMCHECKBOX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end"/>
            </w:r>
            <w:r w:rsidR="003F0BA9" w:rsidRPr="00A64015">
              <w:rPr>
                <w:rFonts w:asciiTheme="minorHAnsi" w:hAnsiTheme="minorHAnsi" w:cstheme="minorHAnsi"/>
                <w:sz w:val="22"/>
                <w:szCs w:val="22"/>
              </w:rPr>
              <w:t xml:space="preserve"> </w:t>
            </w:r>
          </w:p>
        </w:tc>
      </w:tr>
    </w:tbl>
    <w:p w14:paraId="07FD7916" w14:textId="77777777" w:rsidR="003F0BA9" w:rsidRDefault="003F0BA9" w:rsidP="003F0BA9">
      <w:pPr>
        <w:spacing w:after="120"/>
        <w:rPr>
          <w:rFonts w:ascii="Calibri" w:hAnsi="Calibri" w:cs="Calibri"/>
          <w:lang w:val="en-GB"/>
        </w:rPr>
      </w:pPr>
    </w:p>
    <w:p w14:paraId="7C5F3CAC" w14:textId="75AF9F16" w:rsidR="00830AEF" w:rsidRPr="00470175" w:rsidRDefault="00830AEF" w:rsidP="001B697E">
      <w:pPr>
        <w:pStyle w:val="BodyText"/>
      </w:pPr>
    </w:p>
    <w:sectPr w:rsidR="00830AEF"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73EB" w14:textId="77777777" w:rsidR="00955AB5" w:rsidRDefault="00955AB5" w:rsidP="00C20C17">
      <w:r>
        <w:separator/>
      </w:r>
    </w:p>
  </w:endnote>
  <w:endnote w:type="continuationSeparator" w:id="0">
    <w:p w14:paraId="6C2B9F6B" w14:textId="77777777" w:rsidR="00955AB5" w:rsidRDefault="00955AB5"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7CD54C76" w:rsidR="004E1B4D" w:rsidRPr="00420F07" w:rsidRDefault="003F0BA9" w:rsidP="004E1B4D">
          <w:pPr>
            <w:pStyle w:val="Footer"/>
            <w:rPr>
              <w:b/>
              <w:bCs/>
            </w:rPr>
          </w:pPr>
          <w:r>
            <w:rPr>
              <w:b/>
              <w:bCs/>
            </w:rPr>
            <w:t>Workers Compensation Checklist</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881C" w14:textId="77777777" w:rsidR="00955AB5" w:rsidRDefault="00955AB5" w:rsidP="00C20C17">
      <w:r>
        <w:separator/>
      </w:r>
    </w:p>
  </w:footnote>
  <w:footnote w:type="continuationSeparator" w:id="0">
    <w:p w14:paraId="094E3E2D" w14:textId="77777777" w:rsidR="00955AB5" w:rsidRDefault="00955AB5"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0712C"/>
    <w:multiLevelType w:val="hybridMultilevel"/>
    <w:tmpl w:val="7D709D5C"/>
    <w:lvl w:ilvl="0" w:tplc="FFFFFFFF">
      <w:start w:val="1"/>
      <w:numFmt w:val="bullet"/>
      <w:pStyle w:val="ChecklistItem"/>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2B30489"/>
    <w:multiLevelType w:val="multilevel"/>
    <w:tmpl w:val="F438B886"/>
    <w:numStyleLink w:val="ListNumber"/>
  </w:abstractNum>
  <w:abstractNum w:abstractNumId="17" w15:restartNumberingAfterBreak="0">
    <w:nsid w:val="46FA3A4D"/>
    <w:multiLevelType w:val="multilevel"/>
    <w:tmpl w:val="8D0A5F62"/>
    <w:numStyleLink w:val="ListNbrHeading"/>
  </w:abstractNum>
  <w:abstractNum w:abstractNumId="18"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2"/>
  </w:num>
  <w:num w:numId="4">
    <w:abstractNumId w:val="5"/>
  </w:num>
  <w:num w:numId="5">
    <w:abstractNumId w:val="3"/>
  </w:num>
  <w:num w:numId="6">
    <w:abstractNumId w:val="15"/>
  </w:num>
  <w:num w:numId="7">
    <w:abstractNumId w:val="10"/>
  </w:num>
  <w:num w:numId="8">
    <w:abstractNumId w:val="13"/>
  </w:num>
  <w:num w:numId="9">
    <w:abstractNumId w:val="10"/>
  </w:num>
  <w:num w:numId="10">
    <w:abstractNumId w:val="13"/>
  </w:num>
  <w:num w:numId="11">
    <w:abstractNumId w:val="16"/>
  </w:num>
  <w:num w:numId="12">
    <w:abstractNumId w:val="6"/>
  </w:num>
  <w:num w:numId="13">
    <w:abstractNumId w:val="17"/>
  </w:num>
  <w:num w:numId="14">
    <w:abstractNumId w:val="8"/>
  </w:num>
  <w:num w:numId="15">
    <w:abstractNumId w:val="12"/>
  </w:num>
  <w:num w:numId="16">
    <w:abstractNumId w:val="25"/>
  </w:num>
  <w:num w:numId="17">
    <w:abstractNumId w:val="22"/>
  </w:num>
  <w:num w:numId="18">
    <w:abstractNumId w:val="28"/>
  </w:num>
  <w:num w:numId="19">
    <w:abstractNumId w:val="4"/>
  </w:num>
  <w:num w:numId="20">
    <w:abstractNumId w:val="18"/>
  </w:num>
  <w:num w:numId="21">
    <w:abstractNumId w:val="18"/>
  </w:num>
  <w:num w:numId="22">
    <w:abstractNumId w:val="34"/>
  </w:num>
  <w:num w:numId="23">
    <w:abstractNumId w:val="29"/>
  </w:num>
  <w:num w:numId="24">
    <w:abstractNumId w:val="19"/>
  </w:num>
  <w:num w:numId="25">
    <w:abstractNumId w:val="30"/>
  </w:num>
  <w:num w:numId="26">
    <w:abstractNumId w:val="0"/>
  </w:num>
  <w:num w:numId="27">
    <w:abstractNumId w:val="7"/>
  </w:num>
  <w:num w:numId="28">
    <w:abstractNumId w:val="33"/>
  </w:num>
  <w:num w:numId="29">
    <w:abstractNumId w:val="23"/>
  </w:num>
  <w:num w:numId="30">
    <w:abstractNumId w:val="31"/>
  </w:num>
  <w:num w:numId="31">
    <w:abstractNumId w:val="21"/>
  </w:num>
  <w:num w:numId="32">
    <w:abstractNumId w:val="26"/>
  </w:num>
  <w:num w:numId="33">
    <w:abstractNumId w:val="24"/>
  </w:num>
  <w:num w:numId="34">
    <w:abstractNumId w:val="14"/>
  </w:num>
  <w:num w:numId="35">
    <w:abstractNumId w:val="20"/>
  </w:num>
  <w:num w:numId="36">
    <w:abstractNumId w:val="11"/>
  </w:num>
  <w:num w:numId="37">
    <w:abstractNumId w:val="27"/>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87D73"/>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C5C13"/>
    <w:rsid w:val="002D27CD"/>
    <w:rsid w:val="002D5FA0"/>
    <w:rsid w:val="002E496D"/>
    <w:rsid w:val="002F612F"/>
    <w:rsid w:val="00301E18"/>
    <w:rsid w:val="003520CD"/>
    <w:rsid w:val="0035730D"/>
    <w:rsid w:val="003778E8"/>
    <w:rsid w:val="00380E47"/>
    <w:rsid w:val="00395CC2"/>
    <w:rsid w:val="003A0096"/>
    <w:rsid w:val="003A1399"/>
    <w:rsid w:val="003C3220"/>
    <w:rsid w:val="003D03B0"/>
    <w:rsid w:val="003E4D4F"/>
    <w:rsid w:val="003F0BA9"/>
    <w:rsid w:val="003F4C3E"/>
    <w:rsid w:val="00403971"/>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3394"/>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054EC"/>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5557"/>
    <w:rsid w:val="008131D1"/>
    <w:rsid w:val="00830AEF"/>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55AB5"/>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64015"/>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D1FE9"/>
    <w:rsid w:val="00BE2068"/>
    <w:rsid w:val="00BF291A"/>
    <w:rsid w:val="00BF728B"/>
    <w:rsid w:val="00C20C17"/>
    <w:rsid w:val="00C33B32"/>
    <w:rsid w:val="00C74899"/>
    <w:rsid w:val="00C8147F"/>
    <w:rsid w:val="00C82181"/>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A639A"/>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 w:type="paragraph" w:customStyle="1" w:styleId="H1Centered">
    <w:name w:val="H1Centered"/>
    <w:basedOn w:val="Heading1"/>
    <w:uiPriority w:val="99"/>
    <w:rsid w:val="003F0BA9"/>
    <w:pPr>
      <w:keepLines w:val="0"/>
      <w:pageBreakBefore w:val="0"/>
      <w:spacing w:before="120" w:after="120" w:line="240" w:lineRule="auto"/>
      <w:jc w:val="center"/>
    </w:pPr>
    <w:rPr>
      <w:rFonts w:ascii="Times New Roman" w:eastAsia="Times New Roman" w:hAnsi="Times New Roman" w:cs="Times New Roman"/>
      <w:b/>
      <w:bCs/>
      <w:caps/>
      <w:color w:val="auto"/>
      <w:sz w:val="24"/>
      <w:szCs w:val="24"/>
      <w:lang w:val="en-GB" w:eastAsia="en-US"/>
    </w:rPr>
  </w:style>
  <w:style w:type="paragraph" w:customStyle="1" w:styleId="ChecklistItem">
    <w:name w:val="ChecklistItem"/>
    <w:basedOn w:val="BodyText"/>
    <w:uiPriority w:val="99"/>
    <w:rsid w:val="003F0BA9"/>
    <w:pPr>
      <w:numPr>
        <w:numId w:val="38"/>
      </w:numPr>
      <w:tabs>
        <w:tab w:val="clear" w:pos="360"/>
        <w:tab w:val="num" w:pos="720"/>
      </w:tabs>
      <w:spacing w:before="0" w:line="240" w:lineRule="auto"/>
      <w:ind w:left="720"/>
    </w:pPr>
    <w:rPr>
      <w:lang w:val="en-GB" w:eastAsia="en-US"/>
    </w:rPr>
  </w:style>
  <w:style w:type="character" w:customStyle="1" w:styleId="Bold">
    <w:name w:val="Bold"/>
    <w:uiPriority w:val="99"/>
    <w:rsid w:val="003F0BA9"/>
    <w:rPr>
      <w:rFonts w:ascii="Times New Roman" w:hAnsi="Times New Roman" w:cs="Times New Roman" w:hint="default"/>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46336454">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checklist</dc:title>
  <dc:subject>eBook</dc:subject>
  <dc:creator>yvett</dc:creator>
  <cp:keywords/>
  <dc:description/>
  <cp:lastModifiedBy>Nicole Howe</cp:lastModifiedBy>
  <cp:revision>4</cp:revision>
  <cp:lastPrinted>2020-06-08T01:52:00Z</cp:lastPrinted>
  <dcterms:created xsi:type="dcterms:W3CDTF">2021-10-31T11:00:00Z</dcterms:created>
  <dcterms:modified xsi:type="dcterms:W3CDTF">2021-11-18T00:13:00Z</dcterms:modified>
</cp:coreProperties>
</file>